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rPr>
          <w:rFonts w:eastAsia="Times New Roman" w:cstheme="minorHAnsi"/>
          <w:smallCaps/>
          <w:color w:val="808080"/>
          <w:lang w:bidi="en-US"/>
        </w:rPr>
      </w:pPr>
      <w:r>
        <w:rPr>
          <w:rFonts w:eastAsia="Times New Roman" w:cstheme="minorHAnsi"/>
          <w:smallCaps/>
          <w:color w:val="808080"/>
          <w:lang w:bidi="en-US"/>
        </w:rPr>
        <w:t>Service Général de l’Audiovisuel et des Médias</w:t>
      </w:r>
    </w:p>
    <w:p>
      <w:pPr>
        <w:spacing w:after="0" w:line="240" w:lineRule="auto"/>
        <w:jc w:val="center"/>
        <w:rPr>
          <w:rFonts w:eastAsia="Times New Roman" w:cstheme="minorHAnsi"/>
          <w:smallCaps/>
          <w:color w:val="808080"/>
          <w:lang w:bidi="en-US"/>
        </w:rPr>
      </w:pPr>
      <w:r>
        <w:rPr>
          <w:rFonts w:eastAsia="Times New Roman" w:cstheme="minorHAnsi"/>
          <w:smallCaps/>
          <w:color w:val="808080"/>
          <w:lang w:bidi="en-US"/>
        </w:rPr>
        <w:t>de la Fédération Wallonie-Bruxelles</w:t>
      </w:r>
    </w:p>
    <w:p>
      <w:pPr>
        <w:spacing w:after="0" w:line="240" w:lineRule="auto"/>
        <w:jc w:val="center"/>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jc w:val="center"/>
        <w:rPr>
          <w:rFonts w:eastAsia="Times New Roman" w:cstheme="minorHAnsi"/>
          <w:b/>
          <w:color w:val="000080"/>
          <w:lang w:bidi="en-US"/>
        </w:rPr>
      </w:pPr>
    </w:p>
    <w:p>
      <w:pPr>
        <w:spacing w:after="0" w:line="240" w:lineRule="auto"/>
        <w:jc w:val="center"/>
        <w:rPr>
          <w:rFonts w:eastAsia="Times New Roman" w:cstheme="minorHAnsi"/>
          <w:b/>
          <w:color w:val="000080"/>
          <w:lang w:bidi="en-US"/>
        </w:rPr>
      </w:pPr>
    </w:p>
    <w:p>
      <w:pPr>
        <w:spacing w:after="0" w:line="240" w:lineRule="auto"/>
        <w:jc w:val="center"/>
        <w:rPr>
          <w:rFonts w:eastAsia="Times New Roman" w:cstheme="minorHAnsi"/>
          <w:b/>
          <w:color w:val="000080"/>
          <w:lang w:bidi="en-US"/>
        </w:rPr>
      </w:pPr>
      <w:r>
        <w:rPr>
          <w:rFonts w:eastAsia="Times New Roman" w:cstheme="minorHAnsi"/>
          <w:b/>
          <w:color w:val="000080"/>
          <w:lang w:bidi="en-US"/>
        </w:rPr>
        <w:br/>
      </w:r>
    </w:p>
    <w:p>
      <w:pPr>
        <w:spacing w:after="0" w:line="240" w:lineRule="auto"/>
        <w:jc w:val="center"/>
        <w:rPr>
          <w:rFonts w:eastAsia="Times New Roman" w:cstheme="minorHAnsi"/>
          <w:b/>
          <w:color w:val="000080"/>
          <w:lang w:bidi="en-US"/>
        </w:rPr>
      </w:pPr>
    </w:p>
    <w:p>
      <w:pPr>
        <w:jc w:val="center"/>
        <w:rPr>
          <w:rFonts w:cstheme="minorHAnsi"/>
        </w:rPr>
      </w:pPr>
      <w:r>
        <w:rPr>
          <w:rFonts w:cstheme="minorHAnsi"/>
          <w:b/>
          <w:bCs/>
        </w:rPr>
        <w:t xml:space="preserve">APPEL A CANDIDATURES POUR LA DESIGNATION DE L’OPERATEUR CHARGÉ DE GERER LE PATRIMOINE AUDIOVISUEL DE LA FEDERATION WALLONIE-BRUXELLES </w:t>
      </w:r>
    </w:p>
    <w:p>
      <w:pPr>
        <w:spacing w:after="0" w:line="240" w:lineRule="auto"/>
        <w:jc w:val="center"/>
        <w:rPr>
          <w:rFonts w:eastAsia="Times New Roman" w:cstheme="minorHAnsi"/>
          <w:lang w:bidi="en-US"/>
        </w:rPr>
      </w:pPr>
    </w:p>
    <w:p>
      <w:pPr>
        <w:spacing w:after="0" w:line="240" w:lineRule="auto"/>
        <w:rPr>
          <w:rFonts w:eastAsia="Times New Roman" w:cstheme="minorHAnsi"/>
          <w:lang w:bidi="en-US"/>
        </w:rPr>
      </w:pPr>
    </w:p>
    <w:p>
      <w:pPr>
        <w:spacing w:after="0" w:line="240" w:lineRule="auto"/>
        <w:jc w:val="center"/>
        <w:rPr>
          <w:rFonts w:eastAsia="Times New Roman" w:cstheme="minorHAnsi"/>
          <w:b/>
          <w:lang w:bidi="en-US"/>
        </w:rPr>
      </w:pPr>
      <w:r>
        <w:rPr>
          <w:rFonts w:eastAsia="Times New Roman" w:cstheme="minorHAnsi"/>
          <w:lang w:bidi="en-US"/>
        </w:rPr>
        <w:br/>
      </w:r>
      <w:r>
        <w:rPr>
          <w:rFonts w:eastAsia="Times New Roman" w:cstheme="minorHAnsi"/>
          <w:lang w:bidi="en-US"/>
        </w:rPr>
        <w:br/>
      </w:r>
      <w:r>
        <w:rPr>
          <w:rFonts w:eastAsia="Times New Roman" w:cstheme="minorHAnsi"/>
          <w:lang w:bidi="en-US"/>
        </w:rPr>
        <w:br/>
      </w:r>
      <w:r>
        <w:rPr>
          <w:rFonts w:eastAsia="Times New Roman" w:cstheme="minorHAnsi"/>
          <w:b/>
          <w:lang w:bidi="en-US"/>
        </w:rPr>
        <w:t>RÈGLEMENT</w:t>
      </w:r>
    </w:p>
    <w:p>
      <w:pPr>
        <w:spacing w:after="0" w:line="240" w:lineRule="auto"/>
        <w:rPr>
          <w:rFonts w:eastAsia="Times New Roman" w:cstheme="minorHAnsi"/>
          <w:lang w:bidi="en-US"/>
        </w:rPr>
      </w:pPr>
      <w:r>
        <w:rPr>
          <w:rFonts w:eastAsia="Times New Roman" w:cstheme="minorHAnsi"/>
          <w:lang w:bidi="en-US"/>
        </w:rPr>
        <w:br/>
      </w: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rPr>
          <w:rFonts w:eastAsia="Times New Roman" w:cstheme="minorHAnsi"/>
          <w:lang w:bidi="en-US"/>
        </w:rPr>
      </w:pPr>
    </w:p>
    <w:p>
      <w:pPr>
        <w:spacing w:after="0" w:line="240" w:lineRule="auto"/>
        <w:jc w:val="center"/>
        <w:rPr>
          <w:rFonts w:eastAsia="Times New Roman" w:cstheme="minorHAnsi"/>
          <w:lang w:bidi="en-US"/>
        </w:rPr>
      </w:pPr>
    </w:p>
    <w:p>
      <w:pPr>
        <w:spacing w:after="0" w:line="240" w:lineRule="auto"/>
        <w:jc w:val="center"/>
        <w:rPr>
          <w:rFonts w:eastAsia="Times New Roman" w:cstheme="minorHAnsi"/>
          <w:lang w:bidi="en-US"/>
        </w:rPr>
      </w:pPr>
      <w:r>
        <w:rPr>
          <w:rFonts w:eastAsia="Times New Roman" w:cstheme="minorHAnsi"/>
          <w:noProof/>
          <w:lang w:eastAsia="fr-BE"/>
        </w:rPr>
        <w:drawing>
          <wp:anchor distT="0" distB="0" distL="114300" distR="114300" simplePos="0" relativeHeight="251659264" behindDoc="1" locked="0" layoutInCell="1" allowOverlap="1">
            <wp:simplePos x="0" y="0"/>
            <wp:positionH relativeFrom="margin">
              <wp:posOffset>2587874</wp:posOffset>
            </wp:positionH>
            <wp:positionV relativeFrom="margin">
              <wp:posOffset>5311775</wp:posOffset>
            </wp:positionV>
            <wp:extent cx="1257300" cy="1209675"/>
            <wp:effectExtent l="0" t="0" r="0" b="0"/>
            <wp:wrapSquare wrapText="bothSides"/>
            <wp:docPr id="1" name="Image 4" descr="FW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B2"/>
                    <pic:cNvPicPr>
                      <a:picLocks noChangeAspect="1" noChangeArrowheads="1"/>
                    </pic:cNvPicPr>
                  </pic:nvPicPr>
                  <pic:blipFill>
                    <a:blip r:embed="rId8" cstate="print"/>
                    <a:srcRect/>
                    <a:stretch>
                      <a:fillRect/>
                    </a:stretch>
                  </pic:blipFill>
                  <pic:spPr bwMode="auto">
                    <a:xfrm>
                      <a:off x="0" y="0"/>
                      <a:ext cx="1257300" cy="1209675"/>
                    </a:xfrm>
                    <a:prstGeom prst="rect">
                      <a:avLst/>
                    </a:prstGeom>
                    <a:noFill/>
                    <a:ln w="9525">
                      <a:noFill/>
                      <a:miter lim="800000"/>
                      <a:headEnd/>
                      <a:tailEnd/>
                    </a:ln>
                  </pic:spPr>
                </pic:pic>
              </a:graphicData>
            </a:graphic>
          </wp:anchor>
        </w:drawing>
      </w:r>
    </w:p>
    <w:p>
      <w:pPr>
        <w:spacing w:after="0" w:line="240" w:lineRule="auto"/>
        <w:jc w:val="center"/>
        <w:rPr>
          <w:rFonts w:eastAsia="Times New Roman" w:cstheme="minorHAnsi"/>
          <w:lang w:bidi="en-US"/>
        </w:rPr>
      </w:pPr>
    </w:p>
    <w:p>
      <w:pPr>
        <w:spacing w:after="0" w:line="240" w:lineRule="auto"/>
        <w:jc w:val="center"/>
        <w:rPr>
          <w:rFonts w:eastAsia="Times New Roman" w:cstheme="minorHAnsi"/>
          <w:lang w:bidi="en-US"/>
        </w:rPr>
      </w:pPr>
    </w:p>
    <w:p>
      <w:pPr>
        <w:spacing w:after="0" w:line="240" w:lineRule="auto"/>
        <w:jc w:val="center"/>
        <w:rPr>
          <w:rFonts w:eastAsia="Times New Roman" w:cstheme="minorHAnsi"/>
          <w:lang w:bidi="en-US"/>
        </w:rPr>
      </w:pPr>
      <w:r>
        <w:rPr>
          <w:rFonts w:eastAsia="Times New Roman" w:cstheme="minorHAnsi"/>
          <w:lang w:bidi="en-US"/>
        </w:rPr>
        <w:br/>
      </w:r>
    </w:p>
    <w:p>
      <w:pPr>
        <w:spacing w:after="0" w:line="240" w:lineRule="auto"/>
        <w:jc w:val="center"/>
        <w:rPr>
          <w:rFonts w:eastAsia="Times New Roman" w:cstheme="minorHAnsi"/>
          <w:lang w:bidi="en-US"/>
        </w:rPr>
      </w:pPr>
    </w:p>
    <w:p>
      <w:pPr>
        <w:spacing w:after="0" w:line="240" w:lineRule="auto"/>
        <w:jc w:val="center"/>
        <w:rPr>
          <w:rFonts w:eastAsia="Times New Roman" w:cstheme="minorHAnsi"/>
          <w:lang w:bidi="en-US"/>
        </w:rPr>
      </w:pPr>
    </w:p>
    <w:p>
      <w:pPr>
        <w:spacing w:after="0" w:line="240" w:lineRule="auto"/>
        <w:jc w:val="center"/>
        <w:rPr>
          <w:rFonts w:eastAsia="Times New Roman" w:cstheme="minorHAnsi"/>
          <w:lang w:bidi="en-US"/>
        </w:rPr>
      </w:pPr>
    </w:p>
    <w:p>
      <w:pPr>
        <w:spacing w:after="0" w:line="240" w:lineRule="auto"/>
        <w:jc w:val="center"/>
        <w:rPr>
          <w:rFonts w:eastAsia="Times New Roman" w:cstheme="minorHAnsi"/>
          <w:b/>
          <w:color w:val="000080"/>
          <w:lang w:bidi="en-US"/>
        </w:rPr>
      </w:pPr>
    </w:p>
    <w:p>
      <w:pPr>
        <w:spacing w:after="0" w:line="240" w:lineRule="auto"/>
        <w:jc w:val="center"/>
        <w:rPr>
          <w:rFonts w:eastAsia="Times New Roman" w:cstheme="minorHAnsi"/>
          <w:b/>
          <w:color w:val="000080"/>
          <w:lang w:bidi="en-US"/>
        </w:rPr>
      </w:pPr>
    </w:p>
    <w:p>
      <w:pPr>
        <w:spacing w:after="0" w:line="240" w:lineRule="auto"/>
        <w:jc w:val="center"/>
        <w:rPr>
          <w:rFonts w:eastAsia="Times New Roman" w:cstheme="minorHAnsi"/>
          <w:b/>
          <w:color w:val="000080"/>
          <w:lang w:bidi="en-US"/>
        </w:rPr>
      </w:pPr>
    </w:p>
    <w:p>
      <w:pPr>
        <w:spacing w:after="0" w:line="240" w:lineRule="auto"/>
        <w:ind w:left="142" w:right="282"/>
        <w:jc w:val="center"/>
        <w:rPr>
          <w:rFonts w:eastAsia="Times New Roman" w:cstheme="minorHAnsi"/>
          <w:b/>
          <w:color w:val="000080"/>
          <w:lang w:bidi="en-US"/>
        </w:rPr>
      </w:pPr>
    </w:p>
    <w:p>
      <w:pPr>
        <w:spacing w:after="0" w:line="240" w:lineRule="auto"/>
        <w:ind w:left="142" w:right="282"/>
        <w:jc w:val="center"/>
        <w:rPr>
          <w:rFonts w:eastAsia="Times New Roman" w:cstheme="minorHAnsi"/>
          <w:color w:val="000080"/>
          <w:lang w:bidi="en-US"/>
        </w:rPr>
      </w:pPr>
      <w:r>
        <w:rPr>
          <w:rFonts w:eastAsia="Times New Roman" w:cstheme="minorHAnsi"/>
          <w:b/>
          <w:color w:val="000080"/>
          <w:lang w:bidi="en-US"/>
        </w:rPr>
        <w:t>Ministère de la Fédération Wallonie-Bruxelles</w:t>
      </w:r>
    </w:p>
    <w:p>
      <w:pPr>
        <w:spacing w:after="0" w:line="240" w:lineRule="auto"/>
        <w:ind w:left="142" w:right="282"/>
        <w:jc w:val="center"/>
        <w:rPr>
          <w:rFonts w:eastAsia="Times New Roman" w:cstheme="minorHAnsi"/>
          <w:color w:val="000080"/>
          <w:lang w:bidi="en-US"/>
        </w:rPr>
      </w:pPr>
      <w:r>
        <w:rPr>
          <w:rFonts w:eastAsia="Times New Roman" w:cstheme="minorHAnsi"/>
          <w:color w:val="000080"/>
          <w:lang w:bidi="en-US"/>
        </w:rPr>
        <w:t>Service général de l’Audiovisuel et des Médias</w:t>
      </w:r>
    </w:p>
    <w:p>
      <w:pPr>
        <w:spacing w:after="0" w:line="240" w:lineRule="auto"/>
        <w:jc w:val="center"/>
        <w:rPr>
          <w:rFonts w:eastAsia="Times New Roman" w:cstheme="minorHAnsi"/>
          <w:color w:val="000080"/>
          <w:lang w:bidi="en-US"/>
        </w:rPr>
      </w:pPr>
      <w:r>
        <w:rPr>
          <w:rFonts w:eastAsia="Times New Roman" w:cstheme="minorHAnsi"/>
          <w:color w:val="000080"/>
          <w:lang w:bidi="en-US"/>
        </w:rPr>
        <w:t>Centre du Cinéma et de l’Audiovisuel</w:t>
      </w:r>
    </w:p>
    <w:p>
      <w:pPr>
        <w:spacing w:after="0" w:line="240" w:lineRule="auto"/>
        <w:jc w:val="center"/>
        <w:rPr>
          <w:rFonts w:eastAsia="Times New Roman" w:cstheme="minorHAnsi"/>
          <w:color w:val="000080"/>
          <w:lang w:bidi="en-US"/>
        </w:rPr>
      </w:pPr>
      <w:r>
        <w:rPr>
          <w:rFonts w:eastAsia="Times New Roman" w:cstheme="minorHAnsi"/>
          <w:color w:val="000080"/>
          <w:lang w:bidi="en-US"/>
        </w:rPr>
        <w:t>Boulevard Léopold II, 44 - 1080 Bruxelles</w:t>
      </w:r>
    </w:p>
    <w:p>
      <w:pPr>
        <w:jc w:val="center"/>
        <w:rPr>
          <w:rFonts w:cstheme="minorHAnsi"/>
          <w:b/>
          <w:bCs/>
        </w:rPr>
      </w:pPr>
    </w:p>
    <w:p>
      <w:pPr>
        <w:jc w:val="center"/>
        <w:rPr>
          <w:rFonts w:cstheme="minorHAnsi"/>
          <w:b/>
          <w:bCs/>
        </w:rPr>
      </w:pPr>
    </w:p>
    <w:p>
      <w:pPr>
        <w:jc w:val="center"/>
        <w:rPr>
          <w:rFonts w:cstheme="minorHAnsi"/>
          <w:b/>
          <w:bCs/>
        </w:rPr>
      </w:pPr>
    </w:p>
    <w:p>
      <w:pPr>
        <w:jc w:val="center"/>
        <w:rPr>
          <w:rFonts w:cstheme="minorHAnsi"/>
          <w:b/>
          <w:bCs/>
        </w:rPr>
      </w:pPr>
    </w:p>
    <w:p>
      <w:pPr>
        <w:jc w:val="center"/>
        <w:rPr>
          <w:rFonts w:cstheme="minorHAnsi"/>
          <w:b/>
          <w:bCs/>
        </w:rPr>
      </w:pPr>
    </w:p>
    <w:p>
      <w:pPr>
        <w:jc w:val="center"/>
        <w:rPr>
          <w:rFonts w:cstheme="minorHAnsi"/>
          <w:b/>
          <w:bCs/>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lastRenderedPageBreak/>
        <w:t xml:space="preserve">Pourquoi cet appel à candidatures ? </w:t>
      </w:r>
    </w:p>
    <w:p>
      <w:pPr>
        <w:spacing w:after="0"/>
        <w:rPr>
          <w:rFonts w:cstheme="minorHAnsi"/>
        </w:rPr>
      </w:pPr>
    </w:p>
    <w:p>
      <w:pPr>
        <w:spacing w:after="0"/>
        <w:jc w:val="both"/>
        <w:rPr>
          <w:rFonts w:cstheme="minorHAnsi"/>
        </w:rPr>
      </w:pPr>
      <w:r>
        <w:rPr>
          <w:rFonts w:cstheme="minorHAnsi"/>
        </w:rPr>
        <w:t>L’article 6.3-2 du décret du 4 février 2021</w:t>
      </w:r>
      <w:r>
        <w:rPr>
          <w:rFonts w:cstheme="minorHAnsi"/>
          <w:bCs/>
        </w:rPr>
        <w:t xml:space="preserve"> relatif </w:t>
      </w:r>
      <w:r>
        <w:rPr>
          <w:rFonts w:cstheme="minorHAnsi"/>
        </w:rPr>
        <w:t>aux services de médias audiovisuels et aux services de partage de vidéos (ci-après dénommé décret SMA -</w:t>
      </w:r>
    </w:p>
    <w:p>
      <w:pPr>
        <w:jc w:val="both"/>
        <w:rPr>
          <w:rFonts w:cstheme="minorHAnsi"/>
        </w:rPr>
      </w:pPr>
      <w:hyperlink r:id="rId9" w:history="1">
        <w:r>
          <w:rPr>
            <w:rStyle w:val="Lienhypertexte"/>
            <w:rFonts w:cstheme="minorHAnsi"/>
          </w:rPr>
          <w:t>https://audiovisuel.cfwb.be/fileadmin/sites/sgam/uploads/Ressources/Textes_juridiques/Media/Decret_du_04-02-21_relatif_aux_services_de_medias_audiovisuels_et_aux_services_de_partage_de_videos.pdf</w:t>
        </w:r>
      </w:hyperlink>
      <w:r>
        <w:rPr>
          <w:rFonts w:cstheme="minorHAnsi"/>
        </w:rPr>
        <w:t>) prévoit que :</w:t>
      </w:r>
    </w:p>
    <w:p>
      <w:pPr>
        <w:spacing w:after="0" w:line="240" w:lineRule="auto"/>
        <w:jc w:val="both"/>
        <w:rPr>
          <w:rFonts w:cstheme="minorHAnsi"/>
          <w:b/>
          <w:i/>
        </w:rPr>
      </w:pPr>
      <w:r>
        <w:rPr>
          <w:rFonts w:cstheme="minorHAnsi"/>
          <w:i/>
        </w:rPr>
        <w:t>« </w:t>
      </w:r>
      <w:r>
        <w:rPr>
          <w:rFonts w:cstheme="minorHAnsi"/>
          <w:b/>
          <w:i/>
        </w:rPr>
        <w:t xml:space="preserve">Art. 6.3-2. </w:t>
      </w:r>
    </w:p>
    <w:p>
      <w:pPr>
        <w:spacing w:after="0" w:line="240" w:lineRule="auto"/>
        <w:jc w:val="both"/>
        <w:rPr>
          <w:rFonts w:cstheme="minorHAnsi"/>
          <w:b/>
          <w:i/>
        </w:rPr>
      </w:pPr>
      <w:r>
        <w:rPr>
          <w:rFonts w:cstheme="minorHAnsi"/>
          <w:i/>
        </w:rPr>
        <w:t xml:space="preserve">§ 1. La pérennisation du patrimoine audiovisuel de la Communauté française est confiée à un opérateur désigné par le Gouvernement. </w:t>
      </w:r>
    </w:p>
    <w:p>
      <w:pPr>
        <w:spacing w:after="0" w:line="240" w:lineRule="auto"/>
        <w:jc w:val="both"/>
        <w:rPr>
          <w:rFonts w:cstheme="minorHAnsi"/>
          <w:i/>
        </w:rPr>
      </w:pPr>
      <w:r>
        <w:rPr>
          <w:rFonts w:cstheme="minorHAnsi"/>
          <w:i/>
        </w:rPr>
        <w:t>§ 2. Pour être éligible, l’opérateur doit rencontrer les critères cumulatifs suivants :</w:t>
      </w:r>
    </w:p>
    <w:p>
      <w:pPr>
        <w:spacing w:after="0" w:line="240" w:lineRule="auto"/>
        <w:ind w:left="567" w:hanging="284"/>
        <w:jc w:val="both"/>
        <w:rPr>
          <w:rFonts w:cstheme="minorHAnsi"/>
          <w:i/>
        </w:rPr>
      </w:pPr>
      <w:r>
        <w:rPr>
          <w:rFonts w:cstheme="minorHAnsi"/>
          <w:i/>
        </w:rPr>
        <w:t xml:space="preserve">- </w:t>
      </w:r>
      <w:r>
        <w:rPr>
          <w:rFonts w:cstheme="minorHAnsi"/>
          <w:i/>
        </w:rPr>
        <w:tab/>
        <w:t>être une association, au sens de l’article 1.2. du Code des sociétés et des associations ;</w:t>
      </w:r>
    </w:p>
    <w:p>
      <w:pPr>
        <w:spacing w:after="0" w:line="240" w:lineRule="auto"/>
        <w:ind w:left="567" w:hanging="284"/>
        <w:jc w:val="both"/>
        <w:rPr>
          <w:rFonts w:cstheme="minorHAnsi"/>
          <w:i/>
        </w:rPr>
      </w:pPr>
      <w:r>
        <w:rPr>
          <w:rFonts w:cstheme="minorHAnsi"/>
          <w:i/>
        </w:rPr>
        <w:t xml:space="preserve">- </w:t>
      </w:r>
      <w:r>
        <w:rPr>
          <w:rFonts w:cstheme="minorHAnsi"/>
          <w:i/>
        </w:rPr>
        <w:tab/>
        <w:t>être établi en région bilingue de Bruxelles-Capitale ou en région de langue française ;</w:t>
      </w:r>
    </w:p>
    <w:p>
      <w:pPr>
        <w:spacing w:after="0" w:line="240" w:lineRule="auto"/>
        <w:ind w:left="567" w:hanging="284"/>
        <w:jc w:val="both"/>
        <w:rPr>
          <w:rFonts w:cstheme="minorHAnsi"/>
          <w:i/>
        </w:rPr>
      </w:pPr>
      <w:r>
        <w:rPr>
          <w:rFonts w:cstheme="minorHAnsi"/>
          <w:i/>
        </w:rPr>
        <w:t xml:space="preserve">- </w:t>
      </w:r>
      <w:r>
        <w:rPr>
          <w:rFonts w:cstheme="minorHAnsi"/>
          <w:i/>
        </w:rPr>
        <w:tab/>
        <w:t>disposer d’une compétence avérée et d’une expérience significative de plus de cinq ans en matière de sauvegarde  et de pérennisation du patrimoine audiovisuel de la Communauté française ;</w:t>
      </w:r>
    </w:p>
    <w:p>
      <w:pPr>
        <w:spacing w:after="0" w:line="240" w:lineRule="auto"/>
        <w:ind w:left="567" w:hanging="284"/>
        <w:jc w:val="both"/>
        <w:rPr>
          <w:rFonts w:cstheme="minorHAnsi"/>
          <w:i/>
        </w:rPr>
      </w:pPr>
      <w:r>
        <w:rPr>
          <w:rFonts w:cstheme="minorHAnsi"/>
          <w:i/>
        </w:rPr>
        <w:t xml:space="preserve">- </w:t>
      </w:r>
      <w:r>
        <w:rPr>
          <w:rFonts w:cstheme="minorHAnsi"/>
          <w:i/>
        </w:rPr>
        <w:tab/>
        <w:t>disposer des moyens matériels et humains permettant de remplir les missions que le Gouvernement entend confier à l’opérateur.</w:t>
      </w:r>
    </w:p>
    <w:p>
      <w:pPr>
        <w:spacing w:after="0" w:line="240" w:lineRule="auto"/>
        <w:jc w:val="both"/>
        <w:rPr>
          <w:rFonts w:cstheme="minorHAnsi"/>
          <w:i/>
        </w:rPr>
      </w:pPr>
      <w:r>
        <w:rPr>
          <w:rFonts w:cstheme="minorHAnsi"/>
          <w:i/>
        </w:rPr>
        <w:t xml:space="preserve">§ 3. Le Gouvernement fixe la procédure de désignation de l’opérateur. </w:t>
      </w:r>
    </w:p>
    <w:p>
      <w:pPr>
        <w:spacing w:after="0" w:line="240" w:lineRule="auto"/>
        <w:jc w:val="both"/>
        <w:rPr>
          <w:rFonts w:cstheme="minorHAnsi"/>
          <w:i/>
        </w:rPr>
      </w:pPr>
      <w:r>
        <w:rPr>
          <w:rFonts w:cstheme="minorHAnsi"/>
          <w:i/>
        </w:rPr>
        <w:t>§ 4. Les missions de service public attribuées à l’opérateur désigné comprennent :</w:t>
      </w:r>
    </w:p>
    <w:p>
      <w:pPr>
        <w:spacing w:after="0" w:line="240" w:lineRule="auto"/>
        <w:ind w:left="567" w:hanging="284"/>
        <w:jc w:val="both"/>
        <w:rPr>
          <w:rFonts w:cstheme="minorHAnsi"/>
          <w:i/>
        </w:rPr>
      </w:pPr>
      <w:r>
        <w:rPr>
          <w:rFonts w:cstheme="minorHAnsi"/>
          <w:i/>
        </w:rPr>
        <w:t xml:space="preserve">- </w:t>
      </w:r>
      <w:r>
        <w:rPr>
          <w:rFonts w:cstheme="minorHAnsi"/>
          <w:i/>
        </w:rPr>
        <w:tab/>
        <w:t>la restauration, l’indexation, la numérisation, la pérennisation, la conservation de contenus audiovisuels belges francophones ;</w:t>
      </w:r>
    </w:p>
    <w:p>
      <w:pPr>
        <w:spacing w:after="0" w:line="240" w:lineRule="auto"/>
        <w:ind w:left="567" w:hanging="284"/>
        <w:jc w:val="both"/>
        <w:rPr>
          <w:rFonts w:cstheme="minorHAnsi"/>
          <w:i/>
        </w:rPr>
      </w:pPr>
      <w:r>
        <w:rPr>
          <w:rFonts w:cstheme="minorHAnsi"/>
          <w:i/>
        </w:rPr>
        <w:t xml:space="preserve">- </w:t>
      </w:r>
      <w:r>
        <w:rPr>
          <w:rFonts w:cstheme="minorHAnsi"/>
          <w:i/>
        </w:rPr>
        <w:tab/>
        <w:t>la valorisation de ces contenus afin que ceux-ci puissent être mis à la disposition de tous les publics ;</w:t>
      </w:r>
    </w:p>
    <w:p>
      <w:pPr>
        <w:spacing w:after="0" w:line="240" w:lineRule="auto"/>
        <w:ind w:left="567" w:hanging="284"/>
        <w:jc w:val="both"/>
        <w:rPr>
          <w:rFonts w:cstheme="minorHAnsi"/>
          <w:i/>
        </w:rPr>
      </w:pPr>
      <w:r>
        <w:rPr>
          <w:rFonts w:cstheme="minorHAnsi"/>
          <w:i/>
        </w:rPr>
        <w:t xml:space="preserve">- </w:t>
      </w:r>
      <w:r>
        <w:rPr>
          <w:rFonts w:cstheme="minorHAnsi"/>
          <w:i/>
        </w:rPr>
        <w:tab/>
        <w:t>le développement d’une relation partenariale pérenne avec le secteur de l’Enseignement ;</w:t>
      </w:r>
    </w:p>
    <w:p>
      <w:pPr>
        <w:spacing w:after="0" w:line="240" w:lineRule="auto"/>
        <w:ind w:left="567" w:hanging="284"/>
        <w:jc w:val="both"/>
        <w:rPr>
          <w:rFonts w:cstheme="minorHAnsi"/>
          <w:i/>
        </w:rPr>
      </w:pPr>
      <w:r>
        <w:rPr>
          <w:rFonts w:cstheme="minorHAnsi"/>
          <w:i/>
        </w:rPr>
        <w:t xml:space="preserve">- </w:t>
      </w:r>
      <w:r>
        <w:rPr>
          <w:rFonts w:cstheme="minorHAnsi"/>
          <w:i/>
        </w:rPr>
        <w:tab/>
        <w:t>le rôle de support pour les institutions culturelles.</w:t>
      </w:r>
    </w:p>
    <w:p>
      <w:pPr>
        <w:spacing w:after="0" w:line="240" w:lineRule="auto"/>
        <w:jc w:val="both"/>
        <w:rPr>
          <w:rFonts w:cstheme="minorHAnsi"/>
          <w:i/>
        </w:rPr>
      </w:pPr>
      <w:r>
        <w:rPr>
          <w:rFonts w:cstheme="minorHAnsi"/>
          <w:i/>
        </w:rPr>
        <w:t>§ 5. Le Gouvernement précise, dans le cadre d’une convention pluriannuelle d’objectifs et de moyens, d’une durée maximale de quatre ans, renouvelable, les missions énoncées au paragraphe 4, leurs modalités d’exécution, le montant de la compensation annuelle et sa liquidation, ainsi que la teneur du rapport annuel et les conditions de sa publicité, et ce, conformément aux dispositions du Chapitre 1er et de l’article 53 du Règlement (UE) n° 651/2014 de la Commission du 17 juillet 2014 déclarant certaines catégories d’aides compatibles avec le marché intérieur en application des articles 107 et 108 du traité. ». </w:t>
      </w:r>
    </w:p>
    <w:p>
      <w:pPr>
        <w:spacing w:after="0" w:line="240" w:lineRule="auto"/>
        <w:jc w:val="both"/>
        <w:rPr>
          <w:rFonts w:cstheme="minorHAnsi"/>
          <w:i/>
        </w:rPr>
      </w:pPr>
    </w:p>
    <w:p>
      <w:pPr>
        <w:spacing w:after="0"/>
        <w:jc w:val="both"/>
        <w:rPr>
          <w:rFonts w:cstheme="minorHAnsi"/>
        </w:rPr>
      </w:pPr>
      <w:r>
        <w:rPr>
          <w:rFonts w:cstheme="minorHAnsi"/>
        </w:rPr>
        <w:t>Le Gouvernement de la Fédération Wallonie-Bruxelles a adopté (en exécution du décret) le 10 juin 2021 l’arrêté</w:t>
      </w:r>
      <w:r>
        <w:rPr>
          <w:rFonts w:cstheme="minorHAnsi"/>
          <w:bCs/>
        </w:rPr>
        <w:t xml:space="preserve"> fixant la procédure de désignation de l’opérateur chargé de gérer le patrimoine audiovisuel de la Fédération Wallonie-Bruxelles  en application de l’article 6.3-2 du décret du 4 février 2021 relatif </w:t>
      </w:r>
      <w:r>
        <w:rPr>
          <w:rFonts w:cstheme="minorHAnsi"/>
        </w:rPr>
        <w:t xml:space="preserve">aux services de médias audiovisuels et aux services de partage de vidéos (ci-après dénommé arrêté - </w:t>
      </w:r>
      <w:hyperlink r:id="rId10" w:history="1">
        <w:r>
          <w:rPr>
            <w:rStyle w:val="Lienhypertexte"/>
            <w:rFonts w:cstheme="minorHAnsi"/>
          </w:rPr>
          <w:t>https://www.gallilex.cfwb.be/document/pdf/49345_000.pdf</w:t>
        </w:r>
      </w:hyperlink>
      <w:r>
        <w:rPr>
          <w:rFonts w:cstheme="minorHAnsi"/>
        </w:rPr>
        <w:t>).</w:t>
      </w:r>
    </w:p>
    <w:p>
      <w:pPr>
        <w:spacing w:after="0"/>
        <w:jc w:val="both"/>
        <w:rPr>
          <w:rFonts w:cstheme="minorHAnsi"/>
        </w:rPr>
      </w:pPr>
    </w:p>
    <w:p>
      <w:pPr>
        <w:spacing w:after="0"/>
        <w:jc w:val="both"/>
        <w:rPr>
          <w:rFonts w:cstheme="minorHAnsi"/>
          <w:lang w:val="fr-FR"/>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rPr>
      </w:pPr>
      <w:r>
        <w:rPr>
          <w:rFonts w:cstheme="minorHAnsi"/>
          <w:b/>
        </w:rPr>
        <w:t>Quel est l’objectif de cet appel à candidatures ?</w:t>
      </w:r>
    </w:p>
    <w:p>
      <w:pPr>
        <w:spacing w:after="0"/>
        <w:jc w:val="both"/>
        <w:rPr>
          <w:rFonts w:cstheme="minorHAnsi"/>
          <w:b/>
          <w:u w:val="single"/>
        </w:rPr>
      </w:pPr>
    </w:p>
    <w:p>
      <w:pPr>
        <w:jc w:val="both"/>
        <w:rPr>
          <w:rFonts w:cstheme="minorHAnsi"/>
        </w:rPr>
      </w:pPr>
      <w:r>
        <w:rPr>
          <w:rFonts w:cstheme="minorHAnsi"/>
          <w:bCs/>
        </w:rPr>
        <w:t xml:space="preserve">L’objectif de l’appel est la désignation de l’opérateur chargé de gérer le patrimoine audiovisuel de la Fédération Wallonie-Bruxelles qui devra assuré les missions de service public suivantes : </w:t>
      </w:r>
    </w:p>
    <w:p>
      <w:pPr>
        <w:pStyle w:val="Paragraphedeliste"/>
        <w:numPr>
          <w:ilvl w:val="0"/>
          <w:numId w:val="33"/>
        </w:numPr>
        <w:tabs>
          <w:tab w:val="left" w:pos="284"/>
        </w:tabs>
        <w:ind w:left="993"/>
        <w:jc w:val="both"/>
        <w:rPr>
          <w:rFonts w:cstheme="minorHAnsi"/>
        </w:rPr>
      </w:pPr>
      <w:r>
        <w:rPr>
          <w:rFonts w:cstheme="minorHAnsi"/>
        </w:rPr>
        <w:t>la restauration, l’indexation, la numérisation, la pérennisation, la conservation de contenus audiovisuels belges francophones ;</w:t>
      </w:r>
    </w:p>
    <w:p>
      <w:pPr>
        <w:pStyle w:val="Paragraphedeliste"/>
        <w:numPr>
          <w:ilvl w:val="0"/>
          <w:numId w:val="33"/>
        </w:numPr>
        <w:tabs>
          <w:tab w:val="left" w:pos="284"/>
        </w:tabs>
        <w:ind w:left="993"/>
        <w:jc w:val="both"/>
        <w:rPr>
          <w:rFonts w:cstheme="minorHAnsi"/>
        </w:rPr>
      </w:pPr>
      <w:r>
        <w:rPr>
          <w:rFonts w:cstheme="minorHAnsi"/>
        </w:rPr>
        <w:t>la valorisation de ces contenus afin que ceux-ci puissent être mis à la disposition de tous les publics ;</w:t>
      </w:r>
    </w:p>
    <w:p>
      <w:pPr>
        <w:pStyle w:val="Paragraphedeliste"/>
        <w:numPr>
          <w:ilvl w:val="0"/>
          <w:numId w:val="33"/>
        </w:numPr>
        <w:tabs>
          <w:tab w:val="left" w:pos="284"/>
        </w:tabs>
        <w:ind w:left="993"/>
        <w:jc w:val="both"/>
        <w:rPr>
          <w:rFonts w:cstheme="minorHAnsi"/>
        </w:rPr>
      </w:pPr>
      <w:r>
        <w:rPr>
          <w:rFonts w:cstheme="minorHAnsi"/>
        </w:rPr>
        <w:t>le développement d’une relation partenariale pérenne avec le secteur de l’Enseignement ;</w:t>
      </w:r>
    </w:p>
    <w:p>
      <w:pPr>
        <w:pStyle w:val="Paragraphedeliste"/>
        <w:numPr>
          <w:ilvl w:val="0"/>
          <w:numId w:val="33"/>
        </w:numPr>
        <w:tabs>
          <w:tab w:val="left" w:pos="284"/>
        </w:tabs>
        <w:ind w:left="993"/>
        <w:jc w:val="both"/>
        <w:rPr>
          <w:rFonts w:cstheme="minorHAnsi"/>
        </w:rPr>
      </w:pPr>
      <w:r>
        <w:rPr>
          <w:rFonts w:cstheme="minorHAnsi"/>
        </w:rPr>
        <w:t>le rôle de support pour les institutions culturelles.</w:t>
      </w:r>
    </w:p>
    <w:p>
      <w:pPr>
        <w:pStyle w:val="Paragraphedeliste"/>
        <w:tabs>
          <w:tab w:val="left" w:pos="284"/>
        </w:tabs>
        <w:ind w:left="1440"/>
        <w:jc w:val="both"/>
        <w:rPr>
          <w:rFonts w:cstheme="minorHAnsi"/>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lastRenderedPageBreak/>
        <w:t>Quelles sont les conditions éligibilité ?</w:t>
      </w:r>
    </w:p>
    <w:p>
      <w:pPr>
        <w:spacing w:after="0"/>
        <w:jc w:val="both"/>
        <w:rPr>
          <w:rFonts w:cstheme="minorHAnsi"/>
        </w:rPr>
      </w:pPr>
    </w:p>
    <w:p>
      <w:pPr>
        <w:jc w:val="both"/>
        <w:rPr>
          <w:rFonts w:cstheme="minorHAnsi"/>
        </w:rPr>
      </w:pPr>
      <w:r>
        <w:rPr>
          <w:rFonts w:cstheme="minorHAnsi"/>
        </w:rPr>
        <w:t>Les candidats doivent remplir les conditions d’éligibilité suivantes :</w:t>
      </w:r>
    </w:p>
    <w:p>
      <w:pPr>
        <w:pStyle w:val="Paragraphedeliste"/>
        <w:numPr>
          <w:ilvl w:val="0"/>
          <w:numId w:val="33"/>
        </w:numPr>
        <w:tabs>
          <w:tab w:val="left" w:pos="284"/>
        </w:tabs>
        <w:ind w:left="993"/>
        <w:jc w:val="both"/>
        <w:rPr>
          <w:rFonts w:cstheme="minorHAnsi"/>
        </w:rPr>
      </w:pPr>
      <w:r>
        <w:rPr>
          <w:rFonts w:cstheme="minorHAnsi"/>
        </w:rPr>
        <w:t>être une association, au sens de l’article 1.2. du Code des sociétés et des associations ;</w:t>
      </w:r>
    </w:p>
    <w:p>
      <w:pPr>
        <w:pStyle w:val="Paragraphedeliste"/>
        <w:numPr>
          <w:ilvl w:val="0"/>
          <w:numId w:val="33"/>
        </w:numPr>
        <w:tabs>
          <w:tab w:val="left" w:pos="284"/>
        </w:tabs>
        <w:ind w:left="993"/>
        <w:jc w:val="both"/>
        <w:rPr>
          <w:rFonts w:cstheme="minorHAnsi"/>
        </w:rPr>
      </w:pPr>
      <w:r>
        <w:rPr>
          <w:rFonts w:cstheme="minorHAnsi"/>
        </w:rPr>
        <w:t>être établi en région bilingue de Bruxelles-Capitale ou en région de langue française ;</w:t>
      </w:r>
    </w:p>
    <w:p>
      <w:pPr>
        <w:pStyle w:val="Paragraphedeliste"/>
        <w:numPr>
          <w:ilvl w:val="0"/>
          <w:numId w:val="33"/>
        </w:numPr>
        <w:tabs>
          <w:tab w:val="left" w:pos="284"/>
        </w:tabs>
        <w:ind w:left="993"/>
        <w:jc w:val="both"/>
        <w:rPr>
          <w:rFonts w:cstheme="minorHAnsi"/>
        </w:rPr>
      </w:pPr>
      <w:r>
        <w:rPr>
          <w:rFonts w:cstheme="minorHAnsi"/>
        </w:rPr>
        <w:t>disposer d’une compétence avérée et d’une expérience significative de plus de cinq ans en matière de sauvegarde et de pérennisation du patrimoine audiovisuel de la Communauté française ;</w:t>
      </w:r>
    </w:p>
    <w:p>
      <w:pPr>
        <w:pStyle w:val="Paragraphedeliste"/>
        <w:numPr>
          <w:ilvl w:val="0"/>
          <w:numId w:val="33"/>
        </w:numPr>
        <w:tabs>
          <w:tab w:val="left" w:pos="284"/>
        </w:tabs>
        <w:ind w:left="993"/>
        <w:jc w:val="both"/>
        <w:rPr>
          <w:rFonts w:cstheme="minorHAnsi"/>
        </w:rPr>
      </w:pPr>
      <w:r>
        <w:rPr>
          <w:rFonts w:cstheme="minorHAnsi"/>
        </w:rPr>
        <w:t>disposer des moyens matériels et humains permettant de remplir les missions que le Gouvernement entend confier à l’opérateur.</w:t>
      </w:r>
    </w:p>
    <w:p>
      <w:pPr>
        <w:pStyle w:val="Paragraphedeliste"/>
        <w:tabs>
          <w:tab w:val="left" w:pos="284"/>
        </w:tabs>
        <w:spacing w:after="0"/>
        <w:ind w:left="1440"/>
        <w:jc w:val="both"/>
        <w:rPr>
          <w:rFonts w:cstheme="minorHAnsi"/>
        </w:rPr>
      </w:pPr>
    </w:p>
    <w:p>
      <w:pPr>
        <w:pStyle w:val="Paragraphedeliste"/>
        <w:tabs>
          <w:tab w:val="left" w:pos="284"/>
        </w:tabs>
        <w:spacing w:after="0"/>
        <w:ind w:left="1440"/>
        <w:jc w:val="both"/>
        <w:rPr>
          <w:rFonts w:cstheme="minorHAnsi"/>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t xml:space="preserve">Quelles sont les modalités de participation ? </w:t>
      </w:r>
    </w:p>
    <w:p>
      <w:pPr>
        <w:spacing w:after="0"/>
        <w:jc w:val="both"/>
        <w:rPr>
          <w:rFonts w:cstheme="minorHAnsi"/>
        </w:rPr>
      </w:pPr>
    </w:p>
    <w:p>
      <w:pPr>
        <w:rPr>
          <w:rFonts w:cstheme="minorHAnsi"/>
        </w:rPr>
      </w:pPr>
      <w:r>
        <w:rPr>
          <w:rFonts w:cstheme="minorHAnsi"/>
        </w:rPr>
        <w:t>Les candidats doivent introduire un dossier comprenant :</w:t>
      </w:r>
    </w:p>
    <w:p>
      <w:pPr>
        <w:pStyle w:val="Paragraphedeliste"/>
        <w:numPr>
          <w:ilvl w:val="0"/>
          <w:numId w:val="33"/>
        </w:numPr>
        <w:tabs>
          <w:tab w:val="left" w:pos="284"/>
        </w:tabs>
        <w:ind w:left="993"/>
        <w:jc w:val="both"/>
        <w:rPr>
          <w:rFonts w:cstheme="minorHAnsi"/>
        </w:rPr>
      </w:pPr>
      <w:r>
        <w:rPr>
          <w:rFonts w:cstheme="minorHAnsi"/>
        </w:rPr>
        <w:t>leurs statuts ;</w:t>
      </w:r>
    </w:p>
    <w:p>
      <w:pPr>
        <w:pStyle w:val="Paragraphedeliste"/>
        <w:numPr>
          <w:ilvl w:val="0"/>
          <w:numId w:val="33"/>
        </w:numPr>
        <w:tabs>
          <w:tab w:val="left" w:pos="284"/>
        </w:tabs>
        <w:ind w:left="993"/>
        <w:jc w:val="both"/>
        <w:rPr>
          <w:rFonts w:cstheme="minorHAnsi"/>
        </w:rPr>
      </w:pPr>
      <w:r>
        <w:rPr>
          <w:rFonts w:cstheme="minorHAnsi"/>
        </w:rPr>
        <w:t>leurs comptes et bilan annuel approuvés pour les années 2020 et 2021 (comptes et bilan provisoire pour 2021 si ceux-ci n’ont pas encore été approuvés</w:t>
      </w:r>
      <w:bookmarkStart w:id="0" w:name="_GoBack"/>
      <w:bookmarkEnd w:id="0"/>
      <w:r>
        <w:rPr>
          <w:rFonts w:cstheme="minorHAnsi"/>
        </w:rPr>
        <w:t>);</w:t>
      </w:r>
    </w:p>
    <w:p>
      <w:pPr>
        <w:pStyle w:val="Paragraphedeliste"/>
        <w:numPr>
          <w:ilvl w:val="0"/>
          <w:numId w:val="33"/>
        </w:numPr>
        <w:tabs>
          <w:tab w:val="left" w:pos="284"/>
        </w:tabs>
        <w:ind w:left="993"/>
        <w:jc w:val="both"/>
        <w:rPr>
          <w:rFonts w:cstheme="minorHAnsi"/>
        </w:rPr>
      </w:pPr>
      <w:r>
        <w:rPr>
          <w:rFonts w:cstheme="minorHAnsi"/>
        </w:rPr>
        <w:t>une note descriptive de l’expérience du candidat depuis 5 ans en matière de sauvegarde  et de pérennisation du patrimoine audiovisuel de la Communauté française ;</w:t>
      </w:r>
    </w:p>
    <w:p>
      <w:pPr>
        <w:pStyle w:val="Paragraphedeliste"/>
        <w:numPr>
          <w:ilvl w:val="0"/>
          <w:numId w:val="33"/>
        </w:numPr>
        <w:tabs>
          <w:tab w:val="left" w:pos="284"/>
        </w:tabs>
        <w:ind w:left="993"/>
        <w:jc w:val="both"/>
        <w:rPr>
          <w:rFonts w:cstheme="minorHAnsi"/>
        </w:rPr>
      </w:pPr>
      <w:r>
        <w:rPr>
          <w:rFonts w:cstheme="minorHAnsi"/>
        </w:rPr>
        <w:t>une note descriptive des projets en cours ;</w:t>
      </w:r>
    </w:p>
    <w:p>
      <w:pPr>
        <w:pStyle w:val="Paragraphedeliste"/>
        <w:numPr>
          <w:ilvl w:val="0"/>
          <w:numId w:val="33"/>
        </w:numPr>
        <w:tabs>
          <w:tab w:val="left" w:pos="284"/>
        </w:tabs>
        <w:ind w:left="993"/>
        <w:jc w:val="both"/>
        <w:rPr>
          <w:rFonts w:cstheme="minorHAnsi"/>
        </w:rPr>
      </w:pPr>
      <w:r>
        <w:rPr>
          <w:rFonts w:cstheme="minorHAnsi"/>
        </w:rPr>
        <w:t>une note descriptive des moyens humains et matériels dont dispose le candidat ;</w:t>
      </w:r>
    </w:p>
    <w:p>
      <w:pPr>
        <w:pStyle w:val="Paragraphedeliste"/>
        <w:numPr>
          <w:ilvl w:val="0"/>
          <w:numId w:val="33"/>
        </w:numPr>
        <w:tabs>
          <w:tab w:val="left" w:pos="284"/>
        </w:tabs>
        <w:ind w:left="993"/>
        <w:jc w:val="both"/>
        <w:rPr>
          <w:rFonts w:cstheme="minorHAnsi"/>
        </w:rPr>
      </w:pPr>
      <w:r>
        <w:rPr>
          <w:rFonts w:cstheme="minorHAnsi"/>
        </w:rPr>
        <w:t>une note d’intention sur la manière dont le candidat envisage d’exercer les missions visées à l’article 6.3-2, §1</w:t>
      </w:r>
      <w:r>
        <w:rPr>
          <w:rFonts w:cstheme="minorHAnsi"/>
          <w:vertAlign w:val="superscript"/>
        </w:rPr>
        <w:t>er</w:t>
      </w:r>
      <w:r>
        <w:rPr>
          <w:rFonts w:cstheme="minorHAnsi"/>
        </w:rPr>
        <w:t xml:space="preserve"> et §4 du décret SMA et sur les moyens matériels et humains qu’il entend y affecter.</w:t>
      </w:r>
    </w:p>
    <w:p>
      <w:pPr>
        <w:spacing w:after="0"/>
        <w:jc w:val="both"/>
        <w:rPr>
          <w:rFonts w:cstheme="minorHAnsi"/>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t xml:space="preserve">Comment se déroule la sélection ? </w:t>
      </w:r>
    </w:p>
    <w:p>
      <w:pPr>
        <w:spacing w:after="0"/>
        <w:rPr>
          <w:rFonts w:cstheme="minorHAnsi"/>
          <w:bCs/>
        </w:rPr>
      </w:pPr>
    </w:p>
    <w:p>
      <w:pPr>
        <w:spacing w:after="0"/>
        <w:jc w:val="both"/>
        <w:rPr>
          <w:rFonts w:cstheme="minorHAnsi"/>
        </w:rPr>
      </w:pPr>
      <w:r>
        <w:rPr>
          <w:rFonts w:cstheme="minorHAnsi"/>
        </w:rPr>
        <w:t>Le Gouvernement désignera l’opérateur après une comparaison motivée des dossiers de candidature au regard de l’expérience du candidat et de sa note d’intention quant à l’accomplissement des missions visées à l’article 6.3-2, §1</w:t>
      </w:r>
      <w:r>
        <w:rPr>
          <w:rFonts w:cstheme="minorHAnsi"/>
          <w:vertAlign w:val="superscript"/>
        </w:rPr>
        <w:t>er</w:t>
      </w:r>
      <w:r>
        <w:rPr>
          <w:rFonts w:cstheme="minorHAnsi"/>
        </w:rPr>
        <w:t xml:space="preserve"> et §4  du décret.  </w:t>
      </w:r>
    </w:p>
    <w:p>
      <w:pPr>
        <w:pStyle w:val="Paragraphedeliste"/>
        <w:spacing w:after="0"/>
        <w:rPr>
          <w:rFonts w:cstheme="minorHAnsi"/>
          <w:b/>
          <w:bCs/>
        </w:rPr>
      </w:pPr>
    </w:p>
    <w:p>
      <w:pPr>
        <w:pStyle w:val="Paragraphedeliste"/>
        <w:spacing w:after="0"/>
        <w:rPr>
          <w:rFonts w:cstheme="minorHAnsi"/>
          <w:b/>
          <w:bCs/>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t>Modalités d’octroi de l’aide et des missions de l’opérateur</w:t>
      </w:r>
    </w:p>
    <w:p>
      <w:pPr>
        <w:spacing w:after="0"/>
        <w:rPr>
          <w:rFonts w:cstheme="minorHAnsi"/>
          <w:b/>
          <w:bCs/>
        </w:rPr>
      </w:pPr>
    </w:p>
    <w:p>
      <w:pPr>
        <w:spacing w:after="0" w:line="240" w:lineRule="auto"/>
        <w:jc w:val="both"/>
        <w:rPr>
          <w:rFonts w:cstheme="minorHAnsi"/>
          <w:b/>
          <w:bCs/>
        </w:rPr>
      </w:pPr>
      <w:r>
        <w:rPr>
          <w:rFonts w:cstheme="minorHAnsi"/>
        </w:rPr>
        <w:t>L’opérateur est désigné pour une durée de quatre ans. Il conclut dans ce cadre une convention pluriannuelle avec le Gouvernement conformément à l’article 6.3-2, §5 du décret qui fixera notamment les missions de l’opérateur et la subvention allouée à ce dernier pour l’accomplissement de ces missions.</w:t>
      </w:r>
      <w:r>
        <w:rPr>
          <w:rFonts w:cstheme="minorHAnsi"/>
          <w:b/>
          <w:bCs/>
        </w:rPr>
        <w:t xml:space="preserve"> </w:t>
      </w:r>
    </w:p>
    <w:p>
      <w:pPr>
        <w:spacing w:after="0" w:line="240" w:lineRule="auto"/>
        <w:jc w:val="both"/>
        <w:rPr>
          <w:rFonts w:cstheme="minorHAnsi"/>
          <w:b/>
          <w:bCs/>
        </w:rPr>
      </w:pPr>
    </w:p>
    <w:p>
      <w:pPr>
        <w:spacing w:after="0" w:line="240" w:lineRule="auto"/>
        <w:jc w:val="both"/>
        <w:rPr>
          <w:rFonts w:cstheme="minorHAnsi"/>
          <w:b/>
          <w:bCs/>
        </w:rPr>
      </w:pP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Pr>
          <w:rFonts w:cstheme="minorHAnsi"/>
          <w:b/>
          <w:bCs/>
        </w:rPr>
        <w:t xml:space="preserve">Conditions de dépôt des dossiers </w:t>
      </w:r>
    </w:p>
    <w:p>
      <w:pPr>
        <w:spacing w:after="0"/>
        <w:rPr>
          <w:rFonts w:cstheme="minorHAnsi"/>
        </w:rPr>
      </w:pPr>
    </w:p>
    <w:p>
      <w:pPr>
        <w:numPr>
          <w:ilvl w:val="0"/>
          <w:numId w:val="16"/>
        </w:numPr>
        <w:spacing w:after="0"/>
        <w:rPr>
          <w:rStyle w:val="Lienhypertexte"/>
          <w:rFonts w:cstheme="minorHAnsi"/>
          <w:color w:val="auto"/>
          <w:u w:val="none"/>
          <w:lang w:val="fr-FR"/>
        </w:rPr>
      </w:pPr>
      <w:r>
        <w:rPr>
          <w:rFonts w:cstheme="minorHAnsi"/>
          <w:lang w:val="fr-FR"/>
        </w:rPr>
        <w:t>Les candidats doivent transmettre leur dossier en version électronique word et pdf aux adresses électroniques suivantes :</w:t>
      </w:r>
      <w:r>
        <w:rPr>
          <w:rStyle w:val="Lienhypertexte"/>
          <w:rFonts w:cstheme="minorHAnsi"/>
          <w:lang w:val="fr-FR"/>
        </w:rPr>
        <w:t xml:space="preserve"> </w:t>
      </w:r>
      <w:hyperlink r:id="rId11" w:history="1">
        <w:r>
          <w:rPr>
            <w:rStyle w:val="Lienhypertexte"/>
            <w:rFonts w:cstheme="minorHAnsi"/>
            <w:lang w:val="fr-FR"/>
          </w:rPr>
          <w:t>alexandra.krick@cfwb.be</w:t>
        </w:r>
      </w:hyperlink>
      <w:r>
        <w:rPr>
          <w:rFonts w:cstheme="minorHAnsi"/>
          <w:color w:val="0563C1" w:themeColor="hyperlink"/>
          <w:u w:val="single"/>
          <w:lang w:val="fr-FR"/>
        </w:rPr>
        <w:t xml:space="preserve"> </w:t>
      </w:r>
      <w:r>
        <w:rPr>
          <w:rFonts w:cstheme="minorHAnsi"/>
          <w:lang w:val="fr-FR"/>
        </w:rPr>
        <w:t xml:space="preserve">et </w:t>
      </w:r>
      <w:hyperlink r:id="rId12" w:history="1">
        <w:r>
          <w:rPr>
            <w:rStyle w:val="Lienhypertexte"/>
            <w:rFonts w:cstheme="minorHAnsi"/>
            <w:lang w:val="fr-FR"/>
          </w:rPr>
          <w:t>thibault.mulatin@cfwb.be</w:t>
        </w:r>
      </w:hyperlink>
      <w:r>
        <w:rPr>
          <w:rStyle w:val="Lienhypertexte"/>
          <w:rFonts w:cstheme="minorHAnsi"/>
          <w:lang w:val="fr-FR"/>
        </w:rPr>
        <w:t>.</w:t>
      </w:r>
      <w:r>
        <w:rPr>
          <w:rFonts w:cstheme="minorHAnsi"/>
          <w:lang w:val="fr-FR"/>
        </w:rPr>
        <w:br/>
      </w:r>
    </w:p>
    <w:p>
      <w:pPr>
        <w:spacing w:after="200" w:line="276" w:lineRule="auto"/>
        <w:ind w:left="360"/>
        <w:jc w:val="both"/>
        <w:rPr>
          <w:rFonts w:cstheme="minorHAnsi"/>
        </w:rPr>
      </w:pPr>
      <w:r>
        <w:rPr>
          <w:rFonts w:cstheme="minorHAnsi"/>
        </w:rPr>
        <w:t>S’il existe une discordance entre les différentes versions électroniques du dossier introduit, la version pdf du dossier primera.</w:t>
      </w:r>
    </w:p>
    <w:p>
      <w:pPr>
        <w:spacing w:after="0"/>
        <w:ind w:left="360"/>
        <w:jc w:val="both"/>
        <w:rPr>
          <w:rFonts w:cstheme="minorHAnsi"/>
        </w:rPr>
      </w:pPr>
      <w:r>
        <w:rPr>
          <w:rFonts w:cstheme="minorHAnsi"/>
        </w:rPr>
        <w:lastRenderedPageBreak/>
        <w:t>Un accusé de réception sera délivré dans les 10 jours. A défaut, il convient de prendre contact avec la personne de contact : (</w:t>
      </w:r>
      <w:hyperlink r:id="rId13" w:history="1">
        <w:r>
          <w:rPr>
            <w:rStyle w:val="Lienhypertexte"/>
            <w:rFonts w:cstheme="minorHAnsi"/>
          </w:rPr>
          <w:t>alexandra.krick@cfwb.be</w:t>
        </w:r>
      </w:hyperlink>
      <w:r>
        <w:rPr>
          <w:rFonts w:cstheme="minorHAnsi"/>
        </w:rPr>
        <w:t xml:space="preserve"> – 02 413 34 85)</w:t>
      </w:r>
    </w:p>
    <w:p>
      <w:pPr>
        <w:spacing w:after="0"/>
        <w:ind w:left="360"/>
        <w:jc w:val="both"/>
        <w:rPr>
          <w:rFonts w:cstheme="minorHAnsi"/>
          <w:lang w:val="fr-FR"/>
        </w:rPr>
      </w:pPr>
    </w:p>
    <w:p>
      <w:pPr>
        <w:numPr>
          <w:ilvl w:val="0"/>
          <w:numId w:val="16"/>
        </w:numPr>
        <w:spacing w:after="0"/>
        <w:jc w:val="both"/>
        <w:rPr>
          <w:rFonts w:cstheme="minorHAnsi"/>
          <w:lang w:val="fr-FR"/>
        </w:rPr>
      </w:pPr>
      <w:r>
        <w:rPr>
          <w:rFonts w:cstheme="minorHAnsi"/>
          <w:b/>
          <w:lang w:val="fr-FR"/>
        </w:rPr>
        <w:t>La date limite de dépôt des dossiers est fixée au lundi 14 mars 2022 à 16h59 au plus tard</w:t>
      </w:r>
      <w:r>
        <w:rPr>
          <w:rFonts w:cstheme="minorHAnsi"/>
          <w:lang w:val="fr-FR"/>
        </w:rPr>
        <w:t xml:space="preserve">. Le dépôt sera automatiquement clos à 17h. </w:t>
      </w:r>
    </w:p>
    <w:p>
      <w:pPr>
        <w:spacing w:after="0"/>
        <w:ind w:left="360"/>
        <w:jc w:val="both"/>
        <w:rPr>
          <w:rFonts w:cstheme="minorHAnsi"/>
          <w:lang w:val="fr-FR"/>
        </w:rPr>
      </w:pPr>
    </w:p>
    <w:p>
      <w:pPr>
        <w:spacing w:after="0"/>
        <w:ind w:left="360"/>
        <w:jc w:val="both"/>
        <w:rPr>
          <w:rFonts w:cstheme="minorHAnsi"/>
        </w:rPr>
      </w:pPr>
      <w:r>
        <w:rPr>
          <w:rFonts w:cstheme="minorHAnsi"/>
          <w:lang w:val="fr-FR"/>
        </w:rPr>
        <w:t xml:space="preserve">Pour toute question ou précision, contacter </w:t>
      </w:r>
      <w:r>
        <w:rPr>
          <w:rFonts w:cstheme="minorHAnsi"/>
        </w:rPr>
        <w:t>Madame Alexandra Krick (</w:t>
      </w:r>
      <w:hyperlink r:id="rId14" w:history="1">
        <w:r>
          <w:rPr>
            <w:rStyle w:val="Lienhypertexte"/>
            <w:rFonts w:cstheme="minorHAnsi"/>
          </w:rPr>
          <w:t>alexandra.krick@cfwb.be</w:t>
        </w:r>
      </w:hyperlink>
      <w:r>
        <w:rPr>
          <w:rFonts w:cstheme="minorHAnsi"/>
        </w:rPr>
        <w:t xml:space="preserve"> – 02. 413 34 85).</w:t>
      </w:r>
    </w:p>
    <w:p>
      <w:pPr>
        <w:spacing w:after="0"/>
        <w:jc w:val="both"/>
        <w:rPr>
          <w:rFonts w:cstheme="minorHAnsi"/>
        </w:rPr>
      </w:pPr>
    </w:p>
    <w:p>
      <w:pPr>
        <w:pStyle w:val="Paragraphedeliste"/>
        <w:spacing w:after="200" w:line="276" w:lineRule="auto"/>
        <w:ind w:left="360"/>
        <w:jc w:val="both"/>
        <w:rPr>
          <w:rFonts w:cstheme="minorHAnsi"/>
        </w:rPr>
      </w:pPr>
    </w:p>
    <w:p>
      <w:pPr>
        <w:pStyle w:val="Paragraphedeliste"/>
        <w:spacing w:after="200" w:line="276" w:lineRule="auto"/>
        <w:ind w:left="360"/>
        <w:jc w:val="both"/>
        <w:rPr>
          <w:rFonts w:cstheme="minorHAnsi"/>
        </w:rPr>
      </w:pPr>
    </w:p>
    <w:p>
      <w:pPr>
        <w:pStyle w:val="Paragraphedeliste"/>
        <w:pBdr>
          <w:top w:val="single" w:sz="4" w:space="1" w:color="auto"/>
          <w:left w:val="single" w:sz="4" w:space="4" w:color="auto"/>
          <w:bottom w:val="single" w:sz="4" w:space="1" w:color="auto"/>
          <w:right w:val="single" w:sz="4" w:space="4" w:color="auto"/>
        </w:pBdr>
        <w:spacing w:after="200" w:line="276" w:lineRule="auto"/>
        <w:ind w:left="360"/>
        <w:jc w:val="center"/>
        <w:rPr>
          <w:rFonts w:cstheme="minorHAnsi"/>
          <w:b/>
        </w:rPr>
      </w:pPr>
      <w:r>
        <w:rPr>
          <w:rFonts w:cstheme="minorHAnsi"/>
          <w:b/>
        </w:rPr>
        <w:t>Un dossier incomplet ou le non-respect du délai d’introduction du dossier de candidature constitue une cause d’irrecevabilité de la candidature.</w:t>
      </w:r>
    </w:p>
    <w:p>
      <w:pPr>
        <w:spacing w:after="0"/>
        <w:rPr>
          <w:rFonts w:cstheme="minorHAnsi"/>
        </w:rPr>
      </w:pPr>
    </w:p>
    <w:p>
      <w:pPr>
        <w:spacing w:after="0"/>
        <w:rPr>
          <w:rFonts w:cstheme="minorHAnsi"/>
        </w:rPr>
      </w:pPr>
    </w:p>
    <w:p>
      <w:pPr>
        <w:spacing w:after="0"/>
        <w:rPr>
          <w:rFonts w:cstheme="minorHAnsi"/>
        </w:rPr>
      </w:pPr>
    </w:p>
    <w:p>
      <w:pPr>
        <w:spacing w:after="0"/>
        <w:rPr>
          <w:rFonts w:cstheme="minorHAnsi"/>
        </w:rPr>
      </w:pPr>
    </w:p>
    <w:p>
      <w:pPr>
        <w:rPr>
          <w:rFonts w:cstheme="minorHAnsi"/>
        </w:rPr>
      </w:pPr>
    </w:p>
    <w:sect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DED"/>
    <w:multiLevelType w:val="hybridMultilevel"/>
    <w:tmpl w:val="BA76D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F5558B"/>
    <w:multiLevelType w:val="hybridMultilevel"/>
    <w:tmpl w:val="1DDCEECC"/>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0CB70D2A"/>
    <w:multiLevelType w:val="hybridMultilevel"/>
    <w:tmpl w:val="7CC062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6F4884"/>
    <w:multiLevelType w:val="hybridMultilevel"/>
    <w:tmpl w:val="6FA20E5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9C2D69"/>
    <w:multiLevelType w:val="hybridMultilevel"/>
    <w:tmpl w:val="6DCA7D7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4E7138"/>
    <w:multiLevelType w:val="hybridMultilevel"/>
    <w:tmpl w:val="78FA88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D8B0C5B"/>
    <w:multiLevelType w:val="hybridMultilevel"/>
    <w:tmpl w:val="7584AE72"/>
    <w:lvl w:ilvl="0" w:tplc="FF70F58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DE20B59"/>
    <w:multiLevelType w:val="hybridMultilevel"/>
    <w:tmpl w:val="263A06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064515"/>
    <w:multiLevelType w:val="hybridMultilevel"/>
    <w:tmpl w:val="1944CA78"/>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9" w15:restartNumberingAfterBreak="0">
    <w:nsid w:val="23E36B6F"/>
    <w:multiLevelType w:val="hybridMultilevel"/>
    <w:tmpl w:val="707EE998"/>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B40658D"/>
    <w:multiLevelType w:val="hybridMultilevel"/>
    <w:tmpl w:val="EDBAA51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EC5124"/>
    <w:multiLevelType w:val="hybridMultilevel"/>
    <w:tmpl w:val="CDFEFEF4"/>
    <w:lvl w:ilvl="0" w:tplc="080C0001">
      <w:start w:val="1"/>
      <w:numFmt w:val="bullet"/>
      <w:lvlText w:val=""/>
      <w:lvlJc w:val="left"/>
      <w:pPr>
        <w:ind w:left="78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F3D7F5E"/>
    <w:multiLevelType w:val="hybridMultilevel"/>
    <w:tmpl w:val="4D38CE42"/>
    <w:lvl w:ilvl="0" w:tplc="15D6F1E4">
      <w:start w:val="1"/>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F4815DF"/>
    <w:multiLevelType w:val="hybridMultilevel"/>
    <w:tmpl w:val="85CE97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E917FB"/>
    <w:multiLevelType w:val="hybridMultilevel"/>
    <w:tmpl w:val="CCAA3A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CD922F5"/>
    <w:multiLevelType w:val="hybridMultilevel"/>
    <w:tmpl w:val="9C10A9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2315F7"/>
    <w:multiLevelType w:val="hybridMultilevel"/>
    <w:tmpl w:val="87E60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2975F97"/>
    <w:multiLevelType w:val="hybridMultilevel"/>
    <w:tmpl w:val="594AE540"/>
    <w:lvl w:ilvl="0" w:tplc="BDBC4DD0">
      <w:start w:val="1"/>
      <w:numFmt w:val="bullet"/>
      <w:lvlText w:val=""/>
      <w:lvlJc w:val="left"/>
      <w:pPr>
        <w:ind w:left="1440" w:hanging="360"/>
      </w:pPr>
      <w:rPr>
        <w:rFonts w:ascii="Wingdings" w:hAnsi="Wingdings" w:hint="default"/>
        <w:color w:val="auto"/>
        <w:sz w:val="16"/>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47EC7272"/>
    <w:multiLevelType w:val="hybridMultilevel"/>
    <w:tmpl w:val="86ECA20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9" w15:restartNumberingAfterBreak="0">
    <w:nsid w:val="48517EDA"/>
    <w:multiLevelType w:val="hybridMultilevel"/>
    <w:tmpl w:val="3EC2001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CE06E51"/>
    <w:multiLevelType w:val="hybridMultilevel"/>
    <w:tmpl w:val="DAA46394"/>
    <w:lvl w:ilvl="0" w:tplc="E342EDEA">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4E420C39"/>
    <w:multiLevelType w:val="hybridMultilevel"/>
    <w:tmpl w:val="2AC40608"/>
    <w:lvl w:ilvl="0" w:tplc="BDBC4DD0">
      <w:start w:val="1"/>
      <w:numFmt w:val="bullet"/>
      <w:lvlText w:val=""/>
      <w:lvlJc w:val="left"/>
      <w:pPr>
        <w:ind w:left="786" w:hanging="360"/>
      </w:pPr>
      <w:rPr>
        <w:rFonts w:ascii="Wingdings" w:hAnsi="Wingdings" w:hint="default"/>
        <w:strike w:val="0"/>
        <w:color w:val="auto"/>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E432538"/>
    <w:multiLevelType w:val="hybridMultilevel"/>
    <w:tmpl w:val="2DBA8F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7A5ED1"/>
    <w:multiLevelType w:val="hybridMultilevel"/>
    <w:tmpl w:val="979CCA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48411BC"/>
    <w:multiLevelType w:val="hybridMultilevel"/>
    <w:tmpl w:val="82DA8E2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5C946D66"/>
    <w:multiLevelType w:val="hybridMultilevel"/>
    <w:tmpl w:val="5964CEB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FFB5926"/>
    <w:multiLevelType w:val="hybridMultilevel"/>
    <w:tmpl w:val="72C67C48"/>
    <w:lvl w:ilvl="0" w:tplc="BDBC4DD0">
      <w:start w:val="1"/>
      <w:numFmt w:val="bullet"/>
      <w:lvlText w:val=""/>
      <w:lvlJc w:val="left"/>
      <w:pPr>
        <w:ind w:left="360" w:hanging="360"/>
      </w:pPr>
      <w:rPr>
        <w:rFonts w:ascii="Wingdings" w:hAnsi="Wingdings" w:hint="default"/>
        <w:color w:val="auto"/>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572200E"/>
    <w:multiLevelType w:val="hybridMultilevel"/>
    <w:tmpl w:val="C23CE9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7561EF8"/>
    <w:multiLevelType w:val="hybridMultilevel"/>
    <w:tmpl w:val="AB601B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8D50E46"/>
    <w:multiLevelType w:val="hybridMultilevel"/>
    <w:tmpl w:val="50D2152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B7D6893"/>
    <w:multiLevelType w:val="hybridMultilevel"/>
    <w:tmpl w:val="3C2485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0B177A6"/>
    <w:multiLevelType w:val="hybridMultilevel"/>
    <w:tmpl w:val="D23A88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8227EF5"/>
    <w:multiLevelType w:val="hybridMultilevel"/>
    <w:tmpl w:val="44BC635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3" w15:restartNumberingAfterBreak="0">
    <w:nsid w:val="7C4D736A"/>
    <w:multiLevelType w:val="hybridMultilevel"/>
    <w:tmpl w:val="14EA9A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5"/>
  </w:num>
  <w:num w:numId="4">
    <w:abstractNumId w:val="6"/>
  </w:num>
  <w:num w:numId="5">
    <w:abstractNumId w:val="15"/>
  </w:num>
  <w:num w:numId="6">
    <w:abstractNumId w:val="5"/>
  </w:num>
  <w:num w:numId="7">
    <w:abstractNumId w:val="23"/>
  </w:num>
  <w:num w:numId="8">
    <w:abstractNumId w:val="3"/>
  </w:num>
  <w:num w:numId="9">
    <w:abstractNumId w:val="0"/>
  </w:num>
  <w:num w:numId="10">
    <w:abstractNumId w:val="13"/>
  </w:num>
  <w:num w:numId="11">
    <w:abstractNumId w:val="27"/>
  </w:num>
  <w:num w:numId="12">
    <w:abstractNumId w:val="18"/>
  </w:num>
  <w:num w:numId="13">
    <w:abstractNumId w:val="4"/>
  </w:num>
  <w:num w:numId="14">
    <w:abstractNumId w:val="33"/>
  </w:num>
  <w:num w:numId="15">
    <w:abstractNumId w:val="22"/>
  </w:num>
  <w:num w:numId="16">
    <w:abstractNumId w:val="26"/>
  </w:num>
  <w:num w:numId="17">
    <w:abstractNumId w:val="30"/>
  </w:num>
  <w:num w:numId="18">
    <w:abstractNumId w:val="14"/>
  </w:num>
  <w:num w:numId="19">
    <w:abstractNumId w:val="16"/>
  </w:num>
  <w:num w:numId="20">
    <w:abstractNumId w:val="7"/>
  </w:num>
  <w:num w:numId="21">
    <w:abstractNumId w:val="2"/>
  </w:num>
  <w:num w:numId="22">
    <w:abstractNumId w:val="10"/>
  </w:num>
  <w:num w:numId="23">
    <w:abstractNumId w:val="9"/>
  </w:num>
  <w:num w:numId="24">
    <w:abstractNumId w:val="24"/>
  </w:num>
  <w:num w:numId="25">
    <w:abstractNumId w:val="8"/>
  </w:num>
  <w:num w:numId="26">
    <w:abstractNumId w:val="20"/>
  </w:num>
  <w:num w:numId="27">
    <w:abstractNumId w:val="19"/>
  </w:num>
  <w:num w:numId="28">
    <w:abstractNumId w:val="29"/>
  </w:num>
  <w:num w:numId="29">
    <w:abstractNumId w:val="32"/>
  </w:num>
  <w:num w:numId="30">
    <w:abstractNumId w:val="1"/>
  </w:num>
  <w:num w:numId="31">
    <w:abstractNumId w:val="12"/>
  </w:num>
  <w:num w:numId="32">
    <w:abstractNumId w:val="31"/>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3D90C-C870-4F8C-BA49-C97B8C18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styleId="Lienhypertexte">
    <w:name w:val="Hyperlink"/>
    <w:basedOn w:val="Policepardfaut"/>
    <w:unhideWhenUsed/>
    <w:rPr>
      <w:color w:val="0563C1"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paragraph" w:styleId="Rvision">
    <w:name w:val="Revision"/>
    <w:hidden/>
    <w:uiPriority w:val="99"/>
    <w:semiHidden/>
    <w:pPr>
      <w:spacing w:after="0" w:line="240" w:lineRule="auto"/>
    </w:pPr>
  </w:style>
  <w:style w:type="character" w:customStyle="1" w:styleId="CabinetNormalCar">
    <w:name w:val="Cabinet Normal Car"/>
    <w:link w:val="CabinetNormal"/>
    <w:locked/>
    <w:rPr>
      <w:rFonts w:ascii="Tahoma" w:hAnsi="Tahoma" w:cs="Tahoma"/>
      <w:lang w:eastAsia="fr-FR"/>
    </w:rPr>
  </w:style>
  <w:style w:type="paragraph" w:customStyle="1" w:styleId="CabinetNormal">
    <w:name w:val="Cabinet Normal"/>
    <w:link w:val="CabinetNormalCar"/>
    <w:pPr>
      <w:spacing w:after="0" w:line="240" w:lineRule="auto"/>
      <w:jc w:val="both"/>
    </w:pPr>
    <w:rPr>
      <w:rFonts w:ascii="Tahoma" w:hAnsi="Tahoma" w:cs="Tahom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andra.krick@cfwb.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lt.mulatin@cfwb.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a.krick@cfwb.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llilex.cfwb.be/document/pdf/49345_000.pdf" TargetMode="External"/><Relationship Id="rId4" Type="http://schemas.openxmlformats.org/officeDocument/2006/relationships/settings" Target="settings.xml"/><Relationship Id="rId9" Type="http://schemas.openxmlformats.org/officeDocument/2006/relationships/hyperlink" Target="https://audiovisuel.cfwb.be/fileadmin/sites/sgam/uploads/Ressources/Textes_juridiques/Media/Decret_du_04-02-21_relatif_aux_services_de_medias_audiovisuels_et_aux_services_de_partage_de_videos.pdf" TargetMode="External"/><Relationship Id="rId14" Type="http://schemas.openxmlformats.org/officeDocument/2006/relationships/hyperlink" Target="mailto:alexandra.krick@cfw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FEB82-0B73-47A9-8196-7AA4CFAD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1114</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GUSTIN Justine</dc:creator>
  <cp:lastModifiedBy>KRICK Alexandra</cp:lastModifiedBy>
  <cp:revision>3</cp:revision>
  <cp:lastPrinted>2018-06-22T12:58:00Z</cp:lastPrinted>
  <dcterms:created xsi:type="dcterms:W3CDTF">2022-01-17T10:59:00Z</dcterms:created>
  <dcterms:modified xsi:type="dcterms:W3CDTF">2022-01-17T10:59:00Z</dcterms:modified>
</cp:coreProperties>
</file>