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0633" w14:textId="70208DA8" w:rsidR="00DF6BC3" w:rsidRDefault="00DF6BC3" w:rsidP="00DF6BC3">
      <w:pPr>
        <w:jc w:val="center"/>
        <w:rPr>
          <w:b/>
          <w:bCs/>
        </w:rPr>
      </w:pPr>
      <w:r w:rsidRPr="00DF6BC3">
        <w:rPr>
          <w:b/>
          <w:bCs/>
        </w:rPr>
        <w:t>Contrat de financement</w:t>
      </w:r>
      <w:r w:rsidR="00D06C4D">
        <w:rPr>
          <w:b/>
          <w:bCs/>
        </w:rPr>
        <w:t xml:space="preserve"> </w:t>
      </w:r>
      <w:r w:rsidRPr="00DF6BC3">
        <w:rPr>
          <w:b/>
          <w:bCs/>
        </w:rPr>
        <w:t>du Conseil supérieur de l'audiovisuel</w:t>
      </w:r>
    </w:p>
    <w:p w14:paraId="7BE28C26" w14:textId="77777777" w:rsidR="00DF6BC3" w:rsidRPr="00DF6BC3" w:rsidRDefault="00DF6BC3" w:rsidP="00DF6BC3">
      <w:pPr>
        <w:jc w:val="center"/>
        <w:rPr>
          <w:b/>
          <w:bCs/>
        </w:rPr>
      </w:pPr>
    </w:p>
    <w:p w14:paraId="4EBA089B" w14:textId="039A7AA5" w:rsidR="00DF6BC3" w:rsidRPr="00DF6BC3" w:rsidRDefault="00DF6BC3" w:rsidP="00DF6BC3">
      <w:r w:rsidRPr="00DF6BC3">
        <w:t>Le Gouvernement de la Fédération Wallonie-Bruxelles1 représenté à la signature</w:t>
      </w:r>
      <w:r>
        <w:t xml:space="preserve"> </w:t>
      </w:r>
      <w:r w:rsidRPr="00DF6BC3">
        <w:t xml:space="preserve">par la </w:t>
      </w:r>
      <w:proofErr w:type="gramStart"/>
      <w:r w:rsidRPr="00DF6BC3">
        <w:t>Ministre de l'Enfance</w:t>
      </w:r>
      <w:proofErr w:type="gramEnd"/>
      <w:r w:rsidRPr="00DF6BC3">
        <w:t>, de la Santé, de la Culture, des Médias et des Droits</w:t>
      </w:r>
      <w:r>
        <w:t xml:space="preserve"> </w:t>
      </w:r>
      <w:r w:rsidRPr="00DF6BC3">
        <w:t>des Femmes, Madame Bénédicte LINARD, sur délégation et en exécution de la</w:t>
      </w:r>
      <w:r>
        <w:t xml:space="preserve"> </w:t>
      </w:r>
      <w:r w:rsidRPr="00DF6BC3">
        <w:t>décision du Gouvernement du</w:t>
      </w:r>
    </w:p>
    <w:p w14:paraId="51E905D0" w14:textId="77777777" w:rsidR="00DF6BC3" w:rsidRPr="00DF6BC3" w:rsidRDefault="00DF6BC3" w:rsidP="00DF6BC3">
      <w:r w:rsidRPr="00DF6BC3">
        <w:t>ET</w:t>
      </w:r>
    </w:p>
    <w:p w14:paraId="17BFF09C" w14:textId="6DE5CA88" w:rsidR="00DF6BC3" w:rsidRPr="00DF6BC3" w:rsidRDefault="00DF6BC3" w:rsidP="00DF6BC3">
      <w:r w:rsidRPr="00DF6BC3">
        <w:t>Le Conseil supérieur de l'audiovisuel, représenté à la signature par son Président,</w:t>
      </w:r>
      <w:r>
        <w:t xml:space="preserve"> </w:t>
      </w:r>
      <w:r w:rsidRPr="00DF6BC3">
        <w:t>Monsieur Karim IBOURKI1 sur habilitation du Bureau du CSA ;</w:t>
      </w:r>
    </w:p>
    <w:p w14:paraId="2B21D6E6" w14:textId="185D31E2" w:rsidR="00DF6BC3" w:rsidRPr="00DF6BC3" w:rsidRDefault="00DF6BC3" w:rsidP="00DF6BC3">
      <w:r w:rsidRPr="00DF6BC3">
        <w:t>Vu le décret du 4 février 2021 relatif aux services de médias audiovisuels et aux</w:t>
      </w:r>
      <w:r>
        <w:t xml:space="preserve"> </w:t>
      </w:r>
      <w:r w:rsidRPr="00DF6BC3">
        <w:t xml:space="preserve">services de partage de vidéos, plus particulièrement son article 9.1.6-1, §2, </w:t>
      </w:r>
      <w:r w:rsidRPr="00DF6BC3">
        <w:t>ci-après</w:t>
      </w:r>
      <w:r w:rsidRPr="00DF6BC3">
        <w:t>,</w:t>
      </w:r>
      <w:r>
        <w:t xml:space="preserve"> </w:t>
      </w:r>
      <w:r w:rsidRPr="00DF6BC3">
        <w:t>« le Décret » ;</w:t>
      </w:r>
    </w:p>
    <w:p w14:paraId="4C3DFC49" w14:textId="77777777" w:rsidR="00DF6BC3" w:rsidRPr="00DF6BC3" w:rsidRDefault="00DF6BC3" w:rsidP="00DF6BC3">
      <w:r w:rsidRPr="00DF6BC3">
        <w:t>Conviennent de ce qui suit :</w:t>
      </w:r>
    </w:p>
    <w:p w14:paraId="01046858" w14:textId="77777777" w:rsidR="00DF6BC3" w:rsidRPr="00DF6BC3" w:rsidRDefault="00DF6BC3" w:rsidP="00DF6BC3">
      <w:pPr>
        <w:rPr>
          <w:b/>
          <w:bCs/>
          <w:u w:val="single"/>
        </w:rPr>
      </w:pPr>
      <w:r w:rsidRPr="00DF6BC3">
        <w:rPr>
          <w:b/>
          <w:bCs/>
          <w:u w:val="single"/>
        </w:rPr>
        <w:t xml:space="preserve">Chapitre 1er </w:t>
      </w:r>
      <w:r w:rsidRPr="00DF6BC3">
        <w:rPr>
          <w:u w:val="single"/>
        </w:rPr>
        <w:t xml:space="preserve">- </w:t>
      </w:r>
      <w:r w:rsidRPr="00DF6BC3">
        <w:rPr>
          <w:b/>
          <w:bCs/>
          <w:u w:val="single"/>
        </w:rPr>
        <w:t>Dotation de base</w:t>
      </w:r>
    </w:p>
    <w:p w14:paraId="2123BA0F" w14:textId="77777777" w:rsidR="00DF6BC3" w:rsidRPr="00DF6BC3" w:rsidRDefault="00DF6BC3" w:rsidP="00DF6BC3">
      <w:pPr>
        <w:rPr>
          <w:b/>
          <w:bCs/>
        </w:rPr>
      </w:pPr>
      <w:r w:rsidRPr="00DF6BC3">
        <w:rPr>
          <w:b/>
          <w:bCs/>
        </w:rPr>
        <w:t>Article 1er</w:t>
      </w:r>
    </w:p>
    <w:p w14:paraId="541A0790" w14:textId="62989DAD" w:rsidR="00DF6BC3" w:rsidRPr="00DF6BC3" w:rsidRDefault="00DF6BC3" w:rsidP="00DF6BC3">
      <w:r w:rsidRPr="00DF6BC3">
        <w:t>§1er. Pour les années 2024 à 2028, le Gouvernement alloue annuellement au CSA</w:t>
      </w:r>
      <w:r>
        <w:t xml:space="preserve"> </w:t>
      </w:r>
      <w:r w:rsidRPr="00DF6BC3">
        <w:t>une dotation fixée à 3. 751.000 EUR.</w:t>
      </w:r>
    </w:p>
    <w:p w14:paraId="46AB2ADC" w14:textId="2A3DEB9D" w:rsidR="00DF6BC3" w:rsidRPr="00DF6BC3" w:rsidRDefault="00DF6BC3" w:rsidP="00DF6BC3">
      <w:r w:rsidRPr="00DF6BC3">
        <w:t>A partir du 1er janvier 2025, le montant de la dotation est indexé annuellement en</w:t>
      </w:r>
      <w:r>
        <w:t xml:space="preserve"> </w:t>
      </w:r>
      <w:r w:rsidRPr="00DF6BC3">
        <w:t>fonction du rapport entre l'indice général des prix à la consommation applicable au</w:t>
      </w:r>
      <w:r>
        <w:t xml:space="preserve"> </w:t>
      </w:r>
      <w:r w:rsidRPr="00DF6BC3">
        <w:t xml:space="preserve">1er </w:t>
      </w:r>
      <w:r w:rsidRPr="00DF6BC3">
        <w:t>janvier</w:t>
      </w:r>
      <w:r w:rsidRPr="00DF6BC3">
        <w:t xml:space="preserve"> de l'exercice en cours avec celui applicable au 1er janvier 2024 ; ce</w:t>
      </w:r>
      <w:r>
        <w:t xml:space="preserve"> </w:t>
      </w:r>
      <w:r w:rsidRPr="00DF6BC3">
        <w:t>montant indexé étant ensuite majoré de 1 % pour s'adapter à l'évolution de la</w:t>
      </w:r>
      <w:r>
        <w:t xml:space="preserve"> </w:t>
      </w:r>
      <w:r w:rsidRPr="00DF6BC3">
        <w:t>masse salariale liée aux évolutions des carrières et échelles barémiques ainsi qu'à</w:t>
      </w:r>
      <w:r>
        <w:t xml:space="preserve"> </w:t>
      </w:r>
      <w:r w:rsidRPr="00DF6BC3">
        <w:t>la multiplication constante des acteurs à réguler.</w:t>
      </w:r>
    </w:p>
    <w:p w14:paraId="770A3F38" w14:textId="12D8F086" w:rsidR="00DF6BC3" w:rsidRPr="00DF6BC3" w:rsidRDefault="00DF6BC3" w:rsidP="00DF6BC3">
      <w:r w:rsidRPr="00DF6BC3">
        <w:t>§2. La dotation est liquidée en deux tranches, la première correspondant à 80%</w:t>
      </w:r>
      <w:r>
        <w:t xml:space="preserve"> </w:t>
      </w:r>
      <w:r w:rsidRPr="00DF6BC3">
        <w:t>du montant calculé de ladite dotation.</w:t>
      </w:r>
    </w:p>
    <w:p w14:paraId="5B15E1E6" w14:textId="593BDE0C" w:rsidR="00DF6BC3" w:rsidRPr="00DF6BC3" w:rsidRDefault="00DF6BC3" w:rsidP="00DF6BC3">
      <w:r w:rsidRPr="00DF6BC3">
        <w:t>Le versement de la première tranche intervient au plus tard dans les dix premiers</w:t>
      </w:r>
      <w:r>
        <w:t xml:space="preserve"> </w:t>
      </w:r>
      <w:r w:rsidRPr="00DF6BC3">
        <w:t>jours ouvrables du premier semestre. Elle se base sur le montant estimé lors de</w:t>
      </w:r>
      <w:r>
        <w:t xml:space="preserve"> </w:t>
      </w:r>
      <w:r w:rsidRPr="00DF6BC3">
        <w:t>la confection du budget initial de l'année. La seconde tranche est liquidée, au plus</w:t>
      </w:r>
      <w:r>
        <w:t xml:space="preserve"> </w:t>
      </w:r>
      <w:r w:rsidRPr="00DF6BC3">
        <w:t>tôt le 1er octobre, sur avis du commissaire du gouvernement attestant la nécessité</w:t>
      </w:r>
      <w:r>
        <w:t xml:space="preserve"> </w:t>
      </w:r>
      <w:r w:rsidRPr="00DF6BC3">
        <w:t>de l'octroi de la totalité ou d'une partie de cette dernière tranche, au regard de</w:t>
      </w:r>
      <w:r>
        <w:t xml:space="preserve"> </w:t>
      </w:r>
      <w:r w:rsidRPr="00DF6BC3">
        <w:t>l'état de consommation de la dotation annuelle et du respect de l'objectif de solde</w:t>
      </w:r>
      <w:r>
        <w:t xml:space="preserve"> </w:t>
      </w:r>
      <w:r w:rsidRPr="00DF6BC3">
        <w:t>SEC de l'année imposé à l'organisme.</w:t>
      </w:r>
    </w:p>
    <w:p w14:paraId="718814C3" w14:textId="77777777" w:rsidR="00DF6BC3" w:rsidRPr="00DF6BC3" w:rsidRDefault="00DF6BC3" w:rsidP="00DF6BC3">
      <w:pPr>
        <w:rPr>
          <w:b/>
          <w:bCs/>
        </w:rPr>
      </w:pPr>
      <w:r w:rsidRPr="00DF6BC3">
        <w:rPr>
          <w:b/>
          <w:bCs/>
        </w:rPr>
        <w:t>Article 2</w:t>
      </w:r>
    </w:p>
    <w:p w14:paraId="5DC9FBC2" w14:textId="38B96767" w:rsidR="00DF6BC3" w:rsidRPr="00DF6BC3" w:rsidRDefault="00DF6BC3" w:rsidP="00DF6BC3">
      <w:r w:rsidRPr="00DF6BC3">
        <w:t>La gestion administrative des traitements des membres du personnel du CSA est</w:t>
      </w:r>
      <w:r>
        <w:t xml:space="preserve"> </w:t>
      </w:r>
      <w:r w:rsidRPr="00DF6BC3">
        <w:t>assurée par le Service général de l'informatique de l'Université de Liège dans les</w:t>
      </w:r>
      <w:r>
        <w:t xml:space="preserve"> </w:t>
      </w:r>
      <w:r w:rsidRPr="00DF6BC3">
        <w:t>conditions convenues entre ce dernier et le CSA. Le secrétariat social de la</w:t>
      </w:r>
      <w:r>
        <w:t xml:space="preserve"> </w:t>
      </w:r>
      <w:r w:rsidRPr="00DF6BC3">
        <w:t>Fédération Wallonie-Bruxelles apporte un appui sur certaines questions RH</w:t>
      </w:r>
      <w:r>
        <w:t xml:space="preserve"> </w:t>
      </w:r>
      <w:r w:rsidRPr="00DF6BC3">
        <w:t>précises.</w:t>
      </w:r>
    </w:p>
    <w:p w14:paraId="28CC249C" w14:textId="77777777" w:rsidR="00DF6BC3" w:rsidRPr="00DF6BC3" w:rsidRDefault="00DF6BC3" w:rsidP="00DF6BC3">
      <w:pPr>
        <w:rPr>
          <w:b/>
          <w:bCs/>
        </w:rPr>
      </w:pPr>
      <w:r w:rsidRPr="00DF6BC3">
        <w:rPr>
          <w:b/>
          <w:bCs/>
        </w:rPr>
        <w:t>Article 3</w:t>
      </w:r>
    </w:p>
    <w:p w14:paraId="6ECB16E9" w14:textId="6A5D1ED2" w:rsidR="00DF6BC3" w:rsidRPr="00DF6BC3" w:rsidRDefault="00DF6BC3" w:rsidP="00DF6BC3">
      <w:r w:rsidRPr="00DF6BC3">
        <w:t>L'acquisition et la gestion du matériel informatique du CSA peut être assurée par</w:t>
      </w:r>
      <w:r>
        <w:t xml:space="preserve"> </w:t>
      </w:r>
      <w:r w:rsidRPr="00DF6BC3">
        <w:t>l'ETNIC dans les conditions convenues entre cette dernière et le CSA.</w:t>
      </w:r>
    </w:p>
    <w:p w14:paraId="003AE554" w14:textId="77777777" w:rsidR="00DF6BC3" w:rsidRPr="00DF6BC3" w:rsidRDefault="00DF6BC3" w:rsidP="00DF6BC3">
      <w:pPr>
        <w:rPr>
          <w:b/>
          <w:bCs/>
        </w:rPr>
      </w:pPr>
      <w:r w:rsidRPr="00DF6BC3">
        <w:rPr>
          <w:b/>
          <w:bCs/>
        </w:rPr>
        <w:lastRenderedPageBreak/>
        <w:t>Article 4</w:t>
      </w:r>
    </w:p>
    <w:p w14:paraId="39F72365" w14:textId="343DC8C8" w:rsidR="00DF6BC3" w:rsidRPr="00DF6BC3" w:rsidRDefault="00DF6BC3" w:rsidP="00DF6BC3">
      <w:r w:rsidRPr="00DF6BC3">
        <w:t>Le Gouvernement met à la disposition du CSA, sans indemnité, les locaux</w:t>
      </w:r>
      <w:r>
        <w:t xml:space="preserve"> </w:t>
      </w:r>
      <w:r w:rsidRPr="00DF6BC3">
        <w:t>nécessaires à son fonctionnement.</w:t>
      </w:r>
    </w:p>
    <w:p w14:paraId="5915A4B2" w14:textId="77777777" w:rsidR="00DF6BC3" w:rsidRPr="00DF6BC3" w:rsidRDefault="00DF6BC3" w:rsidP="00DF6BC3">
      <w:pPr>
        <w:rPr>
          <w:b/>
          <w:bCs/>
          <w:u w:val="single"/>
        </w:rPr>
      </w:pPr>
      <w:r w:rsidRPr="00DF6BC3">
        <w:rPr>
          <w:b/>
          <w:bCs/>
          <w:u w:val="single"/>
        </w:rPr>
        <w:t xml:space="preserve">Chapitre 2 </w:t>
      </w:r>
      <w:r w:rsidRPr="00DF6BC3">
        <w:rPr>
          <w:u w:val="single"/>
        </w:rPr>
        <w:t xml:space="preserve">- </w:t>
      </w:r>
      <w:r w:rsidRPr="00DF6BC3">
        <w:rPr>
          <w:b/>
          <w:bCs/>
          <w:u w:val="single"/>
        </w:rPr>
        <w:t>Financement complémentaire spécifique</w:t>
      </w:r>
    </w:p>
    <w:p w14:paraId="2E5C13B0" w14:textId="77777777" w:rsidR="00DF6BC3" w:rsidRPr="00DF6BC3" w:rsidRDefault="00DF6BC3" w:rsidP="00DF6BC3">
      <w:pPr>
        <w:rPr>
          <w:b/>
          <w:bCs/>
        </w:rPr>
      </w:pPr>
      <w:r w:rsidRPr="00DF6BC3">
        <w:rPr>
          <w:b/>
          <w:bCs/>
        </w:rPr>
        <w:t>Article 5</w:t>
      </w:r>
    </w:p>
    <w:p w14:paraId="746B71F1" w14:textId="79033A0C" w:rsidR="00DF6BC3" w:rsidRPr="00DF6BC3" w:rsidRDefault="00DF6BC3" w:rsidP="00DF6BC3">
      <w:r w:rsidRPr="00DF6BC3">
        <w:t>§ 1er. Le Gouvernement inscrit annuellement au budget des dépenses de la</w:t>
      </w:r>
      <w:r>
        <w:t xml:space="preserve"> </w:t>
      </w:r>
      <w:r w:rsidRPr="00DF6BC3">
        <w:t>Fédération Wallonie-Bruxelles une dotation spécifique réservée à la prise en charge</w:t>
      </w:r>
      <w:r>
        <w:t xml:space="preserve"> </w:t>
      </w:r>
      <w:r w:rsidRPr="00DF6BC3">
        <w:t>des dommages et intérêts que pourrait devoir payer le CSA en raison de la mise</w:t>
      </w:r>
      <w:r>
        <w:t xml:space="preserve"> </w:t>
      </w:r>
      <w:r w:rsidRPr="00DF6BC3">
        <w:t>en cause éventuelle de sa responsabilité pour des faits relevant de l'exécution de</w:t>
      </w:r>
      <w:r>
        <w:t xml:space="preserve"> </w:t>
      </w:r>
      <w:r w:rsidRPr="00DF6BC3">
        <w:t>ses missions visées aux articles 9.2.2-1 à 9.2.2-5 du Décret.</w:t>
      </w:r>
    </w:p>
    <w:p w14:paraId="588299AB" w14:textId="6021DFE5" w:rsidR="00DF6BC3" w:rsidRPr="00DF6BC3" w:rsidRDefault="00DF6BC3" w:rsidP="00DF6BC3">
      <w:r w:rsidRPr="00DF6BC3">
        <w:t>La dotation spécifique ne sera versée au CSA que dans la mesure où le montant</w:t>
      </w:r>
      <w:r>
        <w:t xml:space="preserve"> </w:t>
      </w:r>
      <w:r w:rsidRPr="00DF6BC3">
        <w:t>de ces dommages et intérêts ne peut être couvert par les autres ressources du</w:t>
      </w:r>
      <w:r>
        <w:t xml:space="preserve"> </w:t>
      </w:r>
      <w:r w:rsidRPr="00DF6BC3">
        <w:t>CSA. Dans ce cadre, pour obtenir une dotation spécifique, le CSA devra justifier</w:t>
      </w:r>
      <w:r>
        <w:t xml:space="preserve"> </w:t>
      </w:r>
      <w:r w:rsidRPr="00DF6BC3">
        <w:t>auprès du Gouvernement que sa situation budgétaire ne lui permet pas de payer</w:t>
      </w:r>
      <w:r>
        <w:t xml:space="preserve"> </w:t>
      </w:r>
      <w:r w:rsidRPr="00DF6BC3">
        <w:t>lesdits dommages et intérêts.</w:t>
      </w:r>
    </w:p>
    <w:p w14:paraId="28E137FB" w14:textId="2F002AC1" w:rsidR="00DF6BC3" w:rsidRPr="00DF6BC3" w:rsidRDefault="00DF6BC3" w:rsidP="00DF6BC3">
      <w:r w:rsidRPr="00DF6BC3">
        <w:t>En outre, s'il appert que le montant de la dotation spécifique ne sera pas utilisé,</w:t>
      </w:r>
      <w:r>
        <w:t xml:space="preserve"> </w:t>
      </w:r>
      <w:r w:rsidRPr="00DF6BC3">
        <w:t>en tout ou en partie, au cours de l'exercice considéré, il ne peut en aucun cas faire</w:t>
      </w:r>
      <w:r>
        <w:t xml:space="preserve"> </w:t>
      </w:r>
      <w:r w:rsidRPr="00DF6BC3">
        <w:t>l'objet d'une redistribution.</w:t>
      </w:r>
    </w:p>
    <w:p w14:paraId="51982249" w14:textId="0D969862" w:rsidR="00DF6BC3" w:rsidRPr="00DF6BC3" w:rsidRDefault="00DF6BC3" w:rsidP="00DF6BC3">
      <w:r w:rsidRPr="00DF6BC3">
        <w:t>Lorsque le CSA doit payer des dommages et intérêts supérieurs au montant visé</w:t>
      </w:r>
      <w:r>
        <w:t xml:space="preserve"> </w:t>
      </w:r>
      <w:r w:rsidRPr="00DF6BC3">
        <w:t>à l'alinéa 1er, le CSA en informe immédiatement le Gouvernement en précisant la</w:t>
      </w:r>
      <w:r>
        <w:t xml:space="preserve"> </w:t>
      </w:r>
      <w:r w:rsidRPr="00DF6BC3">
        <w:t>hauteur du montant dû et les délais de paiement exigés.</w:t>
      </w:r>
    </w:p>
    <w:p w14:paraId="2856CCF7" w14:textId="4BA87E5B" w:rsidR="00DF6BC3" w:rsidRPr="00DF6BC3" w:rsidRDefault="00DF6BC3" w:rsidP="00DF6BC3">
      <w:r w:rsidRPr="00DF6BC3">
        <w:t>§ 2. Le Gouvernement inscrit annuellement au budget des dépenses de la</w:t>
      </w:r>
      <w:r>
        <w:t xml:space="preserve"> </w:t>
      </w:r>
      <w:r w:rsidRPr="00DF6BC3">
        <w:t>Fédération Wallonie-Bruxelles une dotation spécifique réservée à la prise en charge</w:t>
      </w:r>
      <w:r>
        <w:t xml:space="preserve"> </w:t>
      </w:r>
      <w:r w:rsidRPr="00DF6BC3">
        <w:t>des coûts d'honoraires et frais de fonctionnement et de mission des trois experts</w:t>
      </w:r>
      <w:r>
        <w:t xml:space="preserve"> </w:t>
      </w:r>
      <w:r w:rsidRPr="00DF6BC3">
        <w:t>indépendants, visés notamment à l'article 9 bis du décret du 14 juillet 1997 portant</w:t>
      </w:r>
      <w:r>
        <w:t xml:space="preserve"> </w:t>
      </w:r>
      <w:r w:rsidRPr="00DF6BC3">
        <w:t>statut de la RTBF, ainsi qu'à l'article 9.1.3-2, §1er, alinéa 3, du Décret.</w:t>
      </w:r>
    </w:p>
    <w:p w14:paraId="5837B738" w14:textId="2BB7A6C8" w:rsidR="00DF6BC3" w:rsidRPr="00DF6BC3" w:rsidRDefault="00DF6BC3" w:rsidP="00DF6BC3">
      <w:r w:rsidRPr="00DF6BC3">
        <w:t>La dotation spécifique ne sera versée au CSA que dans la mesure où le montant</w:t>
      </w:r>
      <w:r>
        <w:t xml:space="preserve"> </w:t>
      </w:r>
      <w:r w:rsidRPr="00DF6BC3">
        <w:t>de ces dépenses ne peut être couvert par les autres ressources du CSA. Dans ce</w:t>
      </w:r>
      <w:r>
        <w:t xml:space="preserve"> </w:t>
      </w:r>
      <w:r w:rsidRPr="00DF6BC3">
        <w:t>cadre, pour obtenir une dotation spécifique, le CSA devra justifier auprès du</w:t>
      </w:r>
      <w:r>
        <w:t xml:space="preserve"> </w:t>
      </w:r>
      <w:r w:rsidRPr="00DF6BC3">
        <w:t>Gouvernement que sa situation budgétaire ne lui permet pas de payer lesdits</w:t>
      </w:r>
      <w:r>
        <w:t xml:space="preserve"> </w:t>
      </w:r>
      <w:r w:rsidRPr="00DF6BC3">
        <w:t>dommages et intérêts.</w:t>
      </w:r>
    </w:p>
    <w:p w14:paraId="4C3DEE5D" w14:textId="3E7932B5" w:rsidR="00DF6BC3" w:rsidRPr="00DF6BC3" w:rsidRDefault="00DF6BC3" w:rsidP="00DF6BC3">
      <w:r w:rsidRPr="00DF6BC3">
        <w:t>En outre, s'il appert que le montant de la dotation spécifique ne sera pas utilisé,</w:t>
      </w:r>
      <w:r>
        <w:t xml:space="preserve"> </w:t>
      </w:r>
      <w:r w:rsidRPr="00DF6BC3">
        <w:t>en tout ou en partie, au cours de l'exercice considéré, il ne peut en aucun cas faire</w:t>
      </w:r>
      <w:r>
        <w:t xml:space="preserve"> </w:t>
      </w:r>
      <w:r w:rsidRPr="00DF6BC3">
        <w:t>l'objet d'une redistribution. Lorsque le CSA doit engage</w:t>
      </w:r>
      <w:r>
        <w:t>r</w:t>
      </w:r>
      <w:r w:rsidRPr="00DF6BC3">
        <w:t xml:space="preserve"> des dépenses visées à</w:t>
      </w:r>
      <w:r>
        <w:t xml:space="preserve"> </w:t>
      </w:r>
      <w:r w:rsidRPr="00DF6BC3">
        <w:t>l'alinéa 1er, il en informe immédiatement le Gouvernement en précisant la hauteur</w:t>
      </w:r>
      <w:r>
        <w:t xml:space="preserve"> </w:t>
      </w:r>
      <w:r w:rsidRPr="00DF6BC3">
        <w:t>du montant dû et les délais de paiement exigés.</w:t>
      </w:r>
    </w:p>
    <w:p w14:paraId="7EEE41CB" w14:textId="77777777" w:rsidR="00DF6BC3" w:rsidRPr="00DF6BC3" w:rsidRDefault="00DF6BC3" w:rsidP="00DF6BC3">
      <w:pPr>
        <w:rPr>
          <w:b/>
          <w:bCs/>
          <w:u w:val="single"/>
        </w:rPr>
      </w:pPr>
      <w:r w:rsidRPr="00DF6BC3">
        <w:rPr>
          <w:b/>
          <w:bCs/>
          <w:u w:val="single"/>
        </w:rPr>
        <w:t xml:space="preserve">Chapitre 3 </w:t>
      </w:r>
      <w:r w:rsidRPr="00DF6BC3">
        <w:rPr>
          <w:u w:val="single"/>
        </w:rPr>
        <w:t xml:space="preserve">- </w:t>
      </w:r>
      <w:r w:rsidRPr="00DF6BC3">
        <w:rPr>
          <w:b/>
          <w:bCs/>
          <w:u w:val="single"/>
        </w:rPr>
        <w:t>Disposition finale</w:t>
      </w:r>
    </w:p>
    <w:p w14:paraId="155F0B0D" w14:textId="77777777" w:rsidR="00DF6BC3" w:rsidRPr="00DF6BC3" w:rsidRDefault="00DF6BC3" w:rsidP="00DF6BC3">
      <w:pPr>
        <w:rPr>
          <w:b/>
          <w:bCs/>
        </w:rPr>
      </w:pPr>
      <w:r w:rsidRPr="00DF6BC3">
        <w:rPr>
          <w:b/>
          <w:bCs/>
        </w:rPr>
        <w:t>Article 6</w:t>
      </w:r>
    </w:p>
    <w:p w14:paraId="43116F7A" w14:textId="3D2FCA33" w:rsidR="00DF6BC3" w:rsidRPr="00DF6BC3" w:rsidRDefault="00DF6BC3" w:rsidP="00DF6BC3">
      <w:r w:rsidRPr="00DF6BC3">
        <w:t>Le présent contrat entre en vigueur le 1er janvier 2024 et est conclu pour une durée</w:t>
      </w:r>
      <w:r>
        <w:t xml:space="preserve"> </w:t>
      </w:r>
      <w:r w:rsidRPr="00DF6BC3">
        <w:t>de cinq ans.</w:t>
      </w:r>
    </w:p>
    <w:p w14:paraId="6C4E005C" w14:textId="0669767F" w:rsidR="00DF6BC3" w:rsidRDefault="00DF6BC3" w:rsidP="00DF6BC3">
      <w:r w:rsidRPr="00DF6BC3">
        <w:t>Les parties s'engagent à négocier 9 mois avant l'expiration du présent contrat, les</w:t>
      </w:r>
      <w:r>
        <w:t xml:space="preserve"> </w:t>
      </w:r>
      <w:r w:rsidRPr="00DF6BC3">
        <w:t>conditions du renouvellement de celui-ci.</w:t>
      </w:r>
    </w:p>
    <w:p w14:paraId="466FC325" w14:textId="77777777" w:rsidR="00DF6BC3" w:rsidRPr="00DF6BC3" w:rsidRDefault="00DF6BC3" w:rsidP="00DF6BC3"/>
    <w:p w14:paraId="0770AE81" w14:textId="77777777" w:rsidR="00DF6BC3" w:rsidRPr="00DF6BC3" w:rsidRDefault="00DF6BC3" w:rsidP="00DF6BC3">
      <w:r w:rsidRPr="00DF6BC3">
        <w:lastRenderedPageBreak/>
        <w:t>Fait à Bruxelles en deux exemplaires, le 22 décembre 2023</w:t>
      </w:r>
    </w:p>
    <w:p w14:paraId="08E33FB1" w14:textId="6357B97D" w:rsidR="00DF6BC3" w:rsidRPr="00DF6BC3" w:rsidRDefault="00DF6BC3" w:rsidP="00DF6BC3">
      <w:r w:rsidRPr="00DF6BC3">
        <w:t>Pour le Conseil su</w:t>
      </w:r>
      <w:r>
        <w:t>p</w:t>
      </w:r>
      <w:r w:rsidRPr="00DF6BC3">
        <w:t>érie</w:t>
      </w:r>
      <w:r>
        <w:t>u</w:t>
      </w:r>
      <w:r w:rsidRPr="00DF6BC3">
        <w:t>r de !'Audiovisuel,</w:t>
      </w:r>
    </w:p>
    <w:p w14:paraId="110F1EF4" w14:textId="77777777" w:rsidR="00DF6BC3" w:rsidRDefault="00DF6BC3" w:rsidP="00DF6BC3">
      <w:r w:rsidRPr="00DF6BC3">
        <w:t>Le Président,</w:t>
      </w:r>
    </w:p>
    <w:p w14:paraId="74501ACF" w14:textId="66B97197" w:rsidR="00DF6BC3" w:rsidRDefault="00DF6BC3" w:rsidP="00DF6BC3">
      <w:r>
        <w:t>Karim IBOURKI</w:t>
      </w:r>
    </w:p>
    <w:p w14:paraId="1CE52A0B" w14:textId="77777777" w:rsidR="00DF6BC3" w:rsidRPr="00DF6BC3" w:rsidRDefault="00DF6BC3" w:rsidP="00DF6BC3"/>
    <w:p w14:paraId="0C232C38" w14:textId="77777777" w:rsidR="00DF6BC3" w:rsidRPr="00DF6BC3" w:rsidRDefault="00DF6BC3" w:rsidP="00DF6BC3">
      <w:r w:rsidRPr="00DF6BC3">
        <w:t>Pour le Gouvernement,</w:t>
      </w:r>
    </w:p>
    <w:p w14:paraId="3C640EF3" w14:textId="77777777" w:rsidR="00DF6BC3" w:rsidRPr="00DF6BC3" w:rsidRDefault="00DF6BC3" w:rsidP="00DF6BC3">
      <w:r w:rsidRPr="00DF6BC3">
        <w:t xml:space="preserve">La </w:t>
      </w:r>
      <w:proofErr w:type="gramStart"/>
      <w:r w:rsidRPr="00DF6BC3">
        <w:t>Ministre</w:t>
      </w:r>
      <w:proofErr w:type="gramEnd"/>
      <w:r w:rsidRPr="00DF6BC3">
        <w:t xml:space="preserve"> des Médias,</w:t>
      </w:r>
    </w:p>
    <w:p w14:paraId="659E595D" w14:textId="77777777" w:rsidR="00DF6BC3" w:rsidRPr="00DF6BC3" w:rsidRDefault="00DF6BC3" w:rsidP="00DF6BC3">
      <w:r w:rsidRPr="00DF6BC3">
        <w:t>Bénédicte LINARD</w:t>
      </w:r>
    </w:p>
    <w:p w14:paraId="784E2DE5" w14:textId="77777777" w:rsidR="000C58ED" w:rsidRDefault="000C58ED"/>
    <w:sectPr w:rsidR="000C58ED" w:rsidSect="00DF6BC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C3"/>
    <w:rsid w:val="000C58ED"/>
    <w:rsid w:val="002C34B1"/>
    <w:rsid w:val="00600DF7"/>
    <w:rsid w:val="006F48DD"/>
    <w:rsid w:val="006F6078"/>
    <w:rsid w:val="00887F67"/>
    <w:rsid w:val="00AD4729"/>
    <w:rsid w:val="00BA2BBC"/>
    <w:rsid w:val="00D06C4D"/>
    <w:rsid w:val="00DF6BC3"/>
    <w:rsid w:val="00F33AE9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1D32"/>
  <w15:chartTrackingRefBased/>
  <w15:docId w15:val="{3052C1E1-F337-4829-9513-055E8B7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6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6B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6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6B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6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6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6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6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6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6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6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6BC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6BC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6B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6B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6B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6B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6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6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6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6B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6B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6BC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6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6BC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6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822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Mauer</dc:creator>
  <cp:keywords/>
  <dc:description/>
  <cp:lastModifiedBy>Cédric Mauer</cp:lastModifiedBy>
  <cp:revision>2</cp:revision>
  <dcterms:created xsi:type="dcterms:W3CDTF">2025-01-14T08:41:00Z</dcterms:created>
  <dcterms:modified xsi:type="dcterms:W3CDTF">2025-01-14T08:52:00Z</dcterms:modified>
</cp:coreProperties>
</file>