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10" w:rsidRPr="00994E5C" w:rsidRDefault="005F5010" w:rsidP="005F5010">
      <w:pPr>
        <w:spacing w:line="240" w:lineRule="auto"/>
        <w:jc w:val="both"/>
        <w:rPr>
          <w:rFonts w:ascii="Segoe UI" w:hAnsi="Segoe UI" w:cs="Segoe UI"/>
          <w:b/>
          <w:sz w:val="24"/>
          <w:szCs w:val="24"/>
          <w:u w:val="single"/>
          <w:lang w:val="en-GB"/>
        </w:rPr>
      </w:pPr>
      <w:bookmarkStart w:id="0" w:name="_GoBack"/>
      <w:bookmarkEnd w:id="0"/>
      <w:r w:rsidRPr="00994E5C">
        <w:rPr>
          <w:rFonts w:ascii="Segoe UI" w:hAnsi="Segoe UI" w:cs="Segoe UI"/>
          <w:b/>
          <w:sz w:val="24"/>
          <w:szCs w:val="24"/>
          <w:u w:val="single"/>
          <w:lang w:val="en-GB"/>
        </w:rPr>
        <w:t>Panel 3 - Material Jurisdiction</w:t>
      </w:r>
    </w:p>
    <w:p w:rsidR="00297D78" w:rsidRPr="00994E5C" w:rsidRDefault="005C3407"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Dear all,</w:t>
      </w:r>
    </w:p>
    <w:p w:rsidR="005C3407" w:rsidRPr="00994E5C" w:rsidRDefault="00525198"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 xml:space="preserve">Coming to the material jurisdiction issues, we sent you some questions </w:t>
      </w:r>
      <w:r w:rsidR="00C306D6" w:rsidRPr="00994E5C">
        <w:rPr>
          <w:rFonts w:ascii="Segoe UI" w:hAnsi="Segoe UI" w:cs="Segoe UI"/>
          <w:sz w:val="24"/>
          <w:szCs w:val="24"/>
          <w:lang w:val="en-GB"/>
        </w:rPr>
        <w:t xml:space="preserve">earlier </w:t>
      </w:r>
      <w:r w:rsidRPr="00994E5C">
        <w:rPr>
          <w:rFonts w:ascii="Segoe UI" w:hAnsi="Segoe UI" w:cs="Segoe UI"/>
          <w:sz w:val="24"/>
          <w:szCs w:val="24"/>
          <w:lang w:val="en-GB"/>
        </w:rPr>
        <w:t xml:space="preserve">to </w:t>
      </w:r>
      <w:r w:rsidR="00C306D6" w:rsidRPr="00994E5C">
        <w:rPr>
          <w:rFonts w:ascii="Segoe UI" w:hAnsi="Segoe UI" w:cs="Segoe UI"/>
          <w:sz w:val="24"/>
          <w:szCs w:val="24"/>
          <w:lang w:val="en-GB"/>
        </w:rPr>
        <w:t>have you</w:t>
      </w:r>
      <w:r w:rsidR="00917F00" w:rsidRPr="00994E5C">
        <w:rPr>
          <w:rFonts w:ascii="Segoe UI" w:hAnsi="Segoe UI" w:cs="Segoe UI"/>
          <w:sz w:val="24"/>
          <w:szCs w:val="24"/>
          <w:lang w:val="en-GB"/>
        </w:rPr>
        <w:t>r</w:t>
      </w:r>
      <w:r w:rsidR="00C306D6" w:rsidRPr="00994E5C">
        <w:rPr>
          <w:rFonts w:ascii="Segoe UI" w:hAnsi="Segoe UI" w:cs="Segoe UI"/>
          <w:sz w:val="24"/>
          <w:szCs w:val="24"/>
          <w:lang w:val="en-GB"/>
        </w:rPr>
        <w:t xml:space="preserve"> initial views on some big issues that we are dea</w:t>
      </w:r>
      <w:r w:rsidR="00314E28" w:rsidRPr="00994E5C">
        <w:rPr>
          <w:rFonts w:ascii="Segoe UI" w:hAnsi="Segoe UI" w:cs="Segoe UI"/>
          <w:sz w:val="24"/>
          <w:szCs w:val="24"/>
          <w:lang w:val="en-GB"/>
        </w:rPr>
        <w:t>ling with as regulators. To set the scene, I will just give you some initi</w:t>
      </w:r>
      <w:r w:rsidR="005F5010" w:rsidRPr="00994E5C">
        <w:rPr>
          <w:rFonts w:ascii="Segoe UI" w:hAnsi="Segoe UI" w:cs="Segoe UI"/>
          <w:sz w:val="24"/>
          <w:szCs w:val="24"/>
          <w:lang w:val="en-GB"/>
        </w:rPr>
        <w:t>al points</w:t>
      </w:r>
      <w:r w:rsidR="00314E28" w:rsidRPr="00994E5C">
        <w:rPr>
          <w:rFonts w:ascii="Segoe UI" w:hAnsi="Segoe UI" w:cs="Segoe UI"/>
          <w:sz w:val="24"/>
          <w:szCs w:val="24"/>
          <w:lang w:val="en-GB"/>
        </w:rPr>
        <w:t xml:space="preserve"> that you might be debating later on.</w:t>
      </w:r>
    </w:p>
    <w:p w:rsidR="0007380F" w:rsidRPr="00994E5C" w:rsidRDefault="00314E28"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 xml:space="preserve">We asked you first which services are challenging the existing scope of the AVMS directive. </w:t>
      </w:r>
      <w:r w:rsidR="0007380F" w:rsidRPr="00994E5C">
        <w:rPr>
          <w:rFonts w:ascii="Segoe UI" w:hAnsi="Segoe UI" w:cs="Segoe UI"/>
          <w:sz w:val="24"/>
          <w:szCs w:val="24"/>
          <w:lang w:val="en-GB"/>
        </w:rPr>
        <w:t>In September las year, we submitted the CSA contribution to the European Commission consultation</w:t>
      </w:r>
      <w:r w:rsidR="00F06439" w:rsidRPr="00994E5C">
        <w:rPr>
          <w:rFonts w:ascii="Segoe UI" w:hAnsi="Segoe UI" w:cs="Segoe UI"/>
          <w:sz w:val="24"/>
          <w:szCs w:val="24"/>
          <w:lang w:val="en-GB"/>
        </w:rPr>
        <w:t xml:space="preserve"> on the </w:t>
      </w:r>
      <w:r w:rsidR="0007380F" w:rsidRPr="00994E5C">
        <w:rPr>
          <w:rFonts w:ascii="Segoe UI" w:hAnsi="Segoe UI" w:cs="Segoe UI"/>
          <w:sz w:val="24"/>
          <w:szCs w:val="24"/>
          <w:lang w:val="en-GB"/>
        </w:rPr>
        <w:t xml:space="preserve">review of the AVMSD and we pointed at too many </w:t>
      </w:r>
      <w:r w:rsidR="00C46946" w:rsidRPr="00994E5C">
        <w:rPr>
          <w:rFonts w:ascii="Segoe UI" w:hAnsi="Segoe UI" w:cs="Segoe UI"/>
          <w:sz w:val="24"/>
          <w:szCs w:val="24"/>
          <w:lang w:val="en-GB"/>
        </w:rPr>
        <w:t xml:space="preserve">regulatory </w:t>
      </w:r>
      <w:r w:rsidR="004B1332" w:rsidRPr="00994E5C">
        <w:rPr>
          <w:rFonts w:ascii="Segoe UI" w:hAnsi="Segoe UI" w:cs="Segoe UI"/>
          <w:sz w:val="24"/>
          <w:szCs w:val="24"/>
          <w:lang w:val="en-GB"/>
        </w:rPr>
        <w:t xml:space="preserve">unbalances </w:t>
      </w:r>
      <w:r w:rsidR="0007380F" w:rsidRPr="00994E5C">
        <w:rPr>
          <w:rFonts w:ascii="Segoe UI" w:hAnsi="Segoe UI" w:cs="Segoe UI"/>
          <w:sz w:val="24"/>
          <w:szCs w:val="24"/>
          <w:lang w:val="en-GB"/>
        </w:rPr>
        <w:t>between services which are regulated and others which are less or not regulated at all.</w:t>
      </w:r>
    </w:p>
    <w:p w:rsidR="00C235E4" w:rsidRPr="00994E5C" w:rsidRDefault="00F06439"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Depending of the category to which the services belong</w:t>
      </w:r>
      <w:r w:rsidR="00FC457D" w:rsidRPr="00994E5C">
        <w:rPr>
          <w:rFonts w:ascii="Segoe UI" w:hAnsi="Segoe UI" w:cs="Segoe UI"/>
          <w:sz w:val="24"/>
          <w:szCs w:val="24"/>
          <w:lang w:val="en-GB"/>
        </w:rPr>
        <w:t xml:space="preserve"> or depending on whether they simply match the criteria defining an audiovisual media service</w:t>
      </w:r>
      <w:r w:rsidRPr="00994E5C">
        <w:rPr>
          <w:rFonts w:ascii="Segoe UI" w:hAnsi="Segoe UI" w:cs="Segoe UI"/>
          <w:sz w:val="24"/>
          <w:szCs w:val="24"/>
          <w:lang w:val="en-GB"/>
        </w:rPr>
        <w:t xml:space="preserve">, rules are not the same or not applicable and you notice </w:t>
      </w:r>
      <w:r w:rsidR="00E268B7" w:rsidRPr="00994E5C">
        <w:rPr>
          <w:rFonts w:ascii="Segoe UI" w:hAnsi="Segoe UI" w:cs="Segoe UI"/>
          <w:sz w:val="24"/>
          <w:szCs w:val="24"/>
          <w:lang w:val="en-GB"/>
        </w:rPr>
        <w:t>different regulatory treatments. We observed d</w:t>
      </w:r>
      <w:r w:rsidR="00C235E4" w:rsidRPr="00994E5C">
        <w:rPr>
          <w:rFonts w:ascii="Segoe UI" w:hAnsi="Segoe UI" w:cs="Segoe UI"/>
          <w:sz w:val="24"/>
          <w:szCs w:val="24"/>
          <w:lang w:val="en-GB"/>
        </w:rPr>
        <w:t>ifferences</w:t>
      </w:r>
      <w:r w:rsidR="00E268B7" w:rsidRPr="00994E5C">
        <w:rPr>
          <w:rFonts w:ascii="Segoe UI" w:hAnsi="Segoe UI" w:cs="Segoe UI"/>
          <w:sz w:val="24"/>
          <w:szCs w:val="24"/>
          <w:lang w:val="en-GB"/>
        </w:rPr>
        <w:t xml:space="preserve"> </w:t>
      </w:r>
      <w:r w:rsidR="00C235E4" w:rsidRPr="00994E5C">
        <w:rPr>
          <w:rFonts w:ascii="Segoe UI" w:hAnsi="Segoe UI" w:cs="Segoe UI"/>
          <w:sz w:val="24"/>
          <w:szCs w:val="24"/>
          <w:lang w:val="en-GB"/>
        </w:rPr>
        <w:t>….</w:t>
      </w:r>
    </w:p>
    <w:p w:rsidR="00F06439" w:rsidRPr="00994E5C" w:rsidRDefault="00F06439" w:rsidP="005F5010">
      <w:pPr>
        <w:pStyle w:val="Paragraphedeliste"/>
        <w:numPr>
          <w:ilvl w:val="0"/>
          <w:numId w:val="2"/>
        </w:numPr>
        <w:spacing w:line="240" w:lineRule="auto"/>
        <w:jc w:val="both"/>
        <w:rPr>
          <w:rFonts w:ascii="Segoe UI" w:hAnsi="Segoe UI" w:cs="Segoe UI"/>
          <w:sz w:val="24"/>
          <w:szCs w:val="24"/>
          <w:lang w:val="en-GB"/>
        </w:rPr>
      </w:pPr>
      <w:r w:rsidRPr="00994E5C">
        <w:rPr>
          <w:rFonts w:ascii="Segoe UI" w:hAnsi="Segoe UI" w:cs="Segoe UI"/>
          <w:sz w:val="24"/>
          <w:szCs w:val="24"/>
          <w:lang w:val="en-GB"/>
        </w:rPr>
        <w:t>Between linear vs nonlinear services,</w:t>
      </w:r>
    </w:p>
    <w:p w:rsidR="00F06439" w:rsidRPr="00994E5C" w:rsidRDefault="00F06439" w:rsidP="005F5010">
      <w:pPr>
        <w:pStyle w:val="Paragraphedeliste"/>
        <w:numPr>
          <w:ilvl w:val="0"/>
          <w:numId w:val="2"/>
        </w:numPr>
        <w:spacing w:line="240" w:lineRule="auto"/>
        <w:jc w:val="both"/>
        <w:rPr>
          <w:rFonts w:ascii="Segoe UI" w:hAnsi="Segoe UI" w:cs="Segoe UI"/>
          <w:sz w:val="24"/>
          <w:szCs w:val="24"/>
          <w:lang w:val="en-GB"/>
        </w:rPr>
      </w:pPr>
      <w:r w:rsidRPr="00994E5C">
        <w:rPr>
          <w:rFonts w:ascii="Segoe UI" w:hAnsi="Segoe UI" w:cs="Segoe UI"/>
          <w:sz w:val="24"/>
          <w:szCs w:val="24"/>
          <w:lang w:val="en-GB"/>
        </w:rPr>
        <w:t>Between TV-like or not TV-like</w:t>
      </w:r>
      <w:r w:rsidR="00FC457D" w:rsidRPr="00994E5C">
        <w:rPr>
          <w:rFonts w:ascii="Segoe UI" w:hAnsi="Segoe UI" w:cs="Segoe UI"/>
          <w:sz w:val="24"/>
          <w:szCs w:val="24"/>
          <w:lang w:val="en-GB"/>
        </w:rPr>
        <w:t xml:space="preserve"> programs</w:t>
      </w:r>
      <w:r w:rsidRPr="00994E5C">
        <w:rPr>
          <w:rFonts w:ascii="Segoe UI" w:hAnsi="Segoe UI" w:cs="Segoe UI"/>
          <w:sz w:val="24"/>
          <w:szCs w:val="24"/>
          <w:lang w:val="en-GB"/>
        </w:rPr>
        <w:t>,</w:t>
      </w:r>
    </w:p>
    <w:p w:rsidR="00FC457D" w:rsidRPr="00994E5C" w:rsidRDefault="00FC457D" w:rsidP="005F5010">
      <w:pPr>
        <w:pStyle w:val="Paragraphedeliste"/>
        <w:numPr>
          <w:ilvl w:val="0"/>
          <w:numId w:val="2"/>
        </w:numPr>
        <w:spacing w:line="240" w:lineRule="auto"/>
        <w:jc w:val="both"/>
        <w:rPr>
          <w:rFonts w:ascii="Segoe UI" w:hAnsi="Segoe UI" w:cs="Segoe UI"/>
          <w:sz w:val="24"/>
          <w:szCs w:val="24"/>
          <w:lang w:val="en-GB"/>
        </w:rPr>
      </w:pPr>
      <w:r w:rsidRPr="00994E5C">
        <w:rPr>
          <w:rFonts w:ascii="Segoe UI" w:hAnsi="Segoe UI" w:cs="Segoe UI"/>
          <w:sz w:val="24"/>
          <w:szCs w:val="24"/>
          <w:lang w:val="en-GB"/>
        </w:rPr>
        <w:t>Betwee</w:t>
      </w:r>
      <w:r w:rsidR="00C235E4" w:rsidRPr="00994E5C">
        <w:rPr>
          <w:rFonts w:ascii="Segoe UI" w:hAnsi="Segoe UI" w:cs="Segoe UI"/>
          <w:sz w:val="24"/>
          <w:szCs w:val="24"/>
          <w:lang w:val="en-GB"/>
        </w:rPr>
        <w:t>n services matching the criterion</w:t>
      </w:r>
      <w:r w:rsidRPr="00994E5C">
        <w:rPr>
          <w:rFonts w:ascii="Segoe UI" w:hAnsi="Segoe UI" w:cs="Segoe UI"/>
          <w:sz w:val="24"/>
          <w:szCs w:val="24"/>
          <w:lang w:val="en-GB"/>
        </w:rPr>
        <w:t xml:space="preserve"> of the principal purpose and o</w:t>
      </w:r>
      <w:r w:rsidR="00C235E4" w:rsidRPr="00994E5C">
        <w:rPr>
          <w:rFonts w:ascii="Segoe UI" w:hAnsi="Segoe UI" w:cs="Segoe UI"/>
          <w:sz w:val="24"/>
          <w:szCs w:val="24"/>
          <w:lang w:val="en-GB"/>
        </w:rPr>
        <w:t>thers not matching this criterion</w:t>
      </w:r>
    </w:p>
    <w:p w:rsidR="00FC457D" w:rsidRPr="00994E5C" w:rsidRDefault="00FC457D"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 xml:space="preserve">Fortunately, the European Court of justice brought some clarification </w:t>
      </w:r>
      <w:r w:rsidR="00C46946" w:rsidRPr="00994E5C">
        <w:rPr>
          <w:rFonts w:ascii="Segoe UI" w:hAnsi="Segoe UI" w:cs="Segoe UI"/>
          <w:sz w:val="24"/>
          <w:szCs w:val="24"/>
          <w:lang w:val="en-GB"/>
        </w:rPr>
        <w:t xml:space="preserve">recently in its New Media Online judgement </w:t>
      </w:r>
      <w:r w:rsidRPr="00994E5C">
        <w:rPr>
          <w:rFonts w:ascii="Segoe UI" w:hAnsi="Segoe UI" w:cs="Segoe UI"/>
          <w:sz w:val="24"/>
          <w:szCs w:val="24"/>
          <w:lang w:val="en-GB"/>
        </w:rPr>
        <w:t>on the two previous concepts</w:t>
      </w:r>
      <w:r w:rsidR="00743F23" w:rsidRPr="00994E5C">
        <w:rPr>
          <w:rFonts w:ascii="Segoe UI" w:hAnsi="Segoe UI" w:cs="Segoe UI"/>
          <w:sz w:val="24"/>
          <w:szCs w:val="24"/>
          <w:lang w:val="en-GB"/>
        </w:rPr>
        <w:t xml:space="preserve"> -</w:t>
      </w:r>
      <w:r w:rsidRPr="00994E5C">
        <w:rPr>
          <w:rFonts w:ascii="Segoe UI" w:hAnsi="Segoe UI" w:cs="Segoe UI"/>
          <w:sz w:val="24"/>
          <w:szCs w:val="24"/>
          <w:lang w:val="en-GB"/>
        </w:rPr>
        <w:t xml:space="preserve"> TV-</w:t>
      </w:r>
      <w:r w:rsidR="00C235E4" w:rsidRPr="00994E5C">
        <w:rPr>
          <w:rFonts w:ascii="Segoe UI" w:hAnsi="Segoe UI" w:cs="Segoe UI"/>
          <w:sz w:val="24"/>
          <w:szCs w:val="24"/>
          <w:lang w:val="en-GB"/>
        </w:rPr>
        <w:t>like programs and the criterion</w:t>
      </w:r>
      <w:r w:rsidRPr="00994E5C">
        <w:rPr>
          <w:rFonts w:ascii="Segoe UI" w:hAnsi="Segoe UI" w:cs="Segoe UI"/>
          <w:sz w:val="24"/>
          <w:szCs w:val="24"/>
          <w:lang w:val="en-GB"/>
        </w:rPr>
        <w:t xml:space="preserve"> </w:t>
      </w:r>
      <w:r w:rsidR="00743F23" w:rsidRPr="00994E5C">
        <w:rPr>
          <w:rFonts w:ascii="Segoe UI" w:hAnsi="Segoe UI" w:cs="Segoe UI"/>
          <w:sz w:val="24"/>
          <w:szCs w:val="24"/>
          <w:lang w:val="en-GB"/>
        </w:rPr>
        <w:t xml:space="preserve">of the </w:t>
      </w:r>
      <w:r w:rsidRPr="00994E5C">
        <w:rPr>
          <w:rFonts w:ascii="Segoe UI" w:hAnsi="Segoe UI" w:cs="Segoe UI"/>
          <w:sz w:val="24"/>
          <w:szCs w:val="24"/>
          <w:lang w:val="en-GB"/>
        </w:rPr>
        <w:t>principal purpose</w:t>
      </w:r>
      <w:r w:rsidR="00743F23" w:rsidRPr="00994E5C">
        <w:rPr>
          <w:rFonts w:ascii="Segoe UI" w:hAnsi="Segoe UI" w:cs="Segoe UI"/>
          <w:sz w:val="24"/>
          <w:szCs w:val="24"/>
          <w:lang w:val="en-GB"/>
        </w:rPr>
        <w:t xml:space="preserve"> -</w:t>
      </w:r>
      <w:r w:rsidRPr="00994E5C">
        <w:rPr>
          <w:rFonts w:ascii="Segoe UI" w:hAnsi="Segoe UI" w:cs="Segoe UI"/>
          <w:sz w:val="24"/>
          <w:szCs w:val="24"/>
          <w:lang w:val="en-GB"/>
        </w:rPr>
        <w:t xml:space="preserve"> but we believe that some clarification should be brought in the AVMSD as well.</w:t>
      </w:r>
    </w:p>
    <w:p w:rsidR="005E6FC5" w:rsidRPr="00994E5C" w:rsidRDefault="00743F23"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 xml:space="preserve">Last but not least, AVMS rules are not applicable to hosting providers because </w:t>
      </w:r>
      <w:r w:rsidR="00FB6D18" w:rsidRPr="00994E5C">
        <w:rPr>
          <w:rFonts w:ascii="Segoe UI" w:hAnsi="Segoe UI" w:cs="Segoe UI"/>
          <w:sz w:val="24"/>
          <w:szCs w:val="24"/>
          <w:lang w:val="en-GB"/>
        </w:rPr>
        <w:t>there are assumed to be in charge of the</w:t>
      </w:r>
      <w:r w:rsidR="00C235E4" w:rsidRPr="00994E5C">
        <w:rPr>
          <w:rFonts w:ascii="Segoe UI" w:hAnsi="Segoe UI" w:cs="Segoe UI"/>
          <w:sz w:val="24"/>
          <w:szCs w:val="24"/>
          <w:lang w:val="en-GB"/>
        </w:rPr>
        <w:t xml:space="preserve"> mere hosting and transmission</w:t>
      </w:r>
      <w:r w:rsidR="00FB6D18" w:rsidRPr="00994E5C">
        <w:rPr>
          <w:rFonts w:ascii="Segoe UI" w:hAnsi="Segoe UI" w:cs="Segoe UI"/>
          <w:sz w:val="24"/>
          <w:szCs w:val="24"/>
          <w:lang w:val="en-GB"/>
        </w:rPr>
        <w:t xml:space="preserve"> of their services</w:t>
      </w:r>
      <w:r w:rsidR="00AC4752" w:rsidRPr="00994E5C">
        <w:rPr>
          <w:rFonts w:ascii="Segoe UI" w:hAnsi="Segoe UI" w:cs="Segoe UI"/>
          <w:sz w:val="24"/>
          <w:szCs w:val="24"/>
          <w:lang w:val="en-GB"/>
        </w:rPr>
        <w:t xml:space="preserve">. </w:t>
      </w:r>
    </w:p>
    <w:p w:rsidR="005B18E1" w:rsidRPr="00994E5C" w:rsidRDefault="005B18E1"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 xml:space="preserve">As regulator, we are </w:t>
      </w:r>
      <w:r w:rsidR="004B1332" w:rsidRPr="00994E5C">
        <w:rPr>
          <w:rFonts w:ascii="Segoe UI" w:hAnsi="Segoe UI" w:cs="Segoe UI"/>
          <w:sz w:val="24"/>
          <w:szCs w:val="24"/>
          <w:lang w:val="en-GB"/>
        </w:rPr>
        <w:t xml:space="preserve">of course uncomfortable with these differences in regulatory treatment. To preserve competition, we are </w:t>
      </w:r>
      <w:r w:rsidRPr="00994E5C">
        <w:rPr>
          <w:rFonts w:ascii="Segoe UI" w:hAnsi="Segoe UI" w:cs="Segoe UI"/>
          <w:sz w:val="24"/>
          <w:szCs w:val="24"/>
          <w:lang w:val="en-GB"/>
        </w:rPr>
        <w:t xml:space="preserve">aiming at imposing the same rules on players providing similar services in an identical perimeter. </w:t>
      </w:r>
      <w:r w:rsidR="00AC4752" w:rsidRPr="00994E5C">
        <w:rPr>
          <w:rFonts w:ascii="Segoe UI" w:hAnsi="Segoe UI" w:cs="Segoe UI"/>
          <w:sz w:val="24"/>
          <w:szCs w:val="24"/>
          <w:lang w:val="en-GB"/>
        </w:rPr>
        <w:t>In our converged world, w</w:t>
      </w:r>
      <w:r w:rsidR="00C46946" w:rsidRPr="00994E5C">
        <w:rPr>
          <w:rFonts w:ascii="Segoe UI" w:hAnsi="Segoe UI" w:cs="Segoe UI"/>
          <w:sz w:val="24"/>
          <w:szCs w:val="24"/>
          <w:lang w:val="en-GB"/>
        </w:rPr>
        <w:t>e believe that the consumers’ and citizens’ protection should not vary depending on th</w:t>
      </w:r>
      <w:r w:rsidR="00C235E4" w:rsidRPr="00994E5C">
        <w:rPr>
          <w:rFonts w:ascii="Segoe UI" w:hAnsi="Segoe UI" w:cs="Segoe UI"/>
          <w:sz w:val="24"/>
          <w:szCs w:val="24"/>
          <w:lang w:val="en-GB"/>
        </w:rPr>
        <w:t>e platforms, their number, or</w:t>
      </w:r>
      <w:r w:rsidR="00C46946" w:rsidRPr="00994E5C">
        <w:rPr>
          <w:rFonts w:ascii="Segoe UI" w:hAnsi="Segoe UI" w:cs="Segoe UI"/>
          <w:sz w:val="24"/>
          <w:szCs w:val="24"/>
          <w:lang w:val="en-GB"/>
        </w:rPr>
        <w:t xml:space="preserve"> the way content is delivered to consumers.</w:t>
      </w:r>
      <w:r w:rsidR="00AC4752" w:rsidRPr="00994E5C">
        <w:rPr>
          <w:rFonts w:ascii="Segoe UI" w:hAnsi="Segoe UI" w:cs="Segoe UI"/>
          <w:sz w:val="24"/>
          <w:szCs w:val="24"/>
          <w:lang w:val="en-GB"/>
        </w:rPr>
        <w:t xml:space="preserve"> </w:t>
      </w:r>
      <w:r w:rsidRPr="00994E5C">
        <w:rPr>
          <w:rFonts w:ascii="Segoe UI" w:hAnsi="Segoe UI" w:cs="Segoe UI"/>
          <w:sz w:val="24"/>
          <w:szCs w:val="24"/>
          <w:lang w:val="en-GB"/>
        </w:rPr>
        <w:t>And we trust that this approach can be reconciled with the objective to support the emergence of new businesses.</w:t>
      </w:r>
    </w:p>
    <w:p w:rsidR="00AC4752" w:rsidRPr="00994E5C" w:rsidRDefault="00AE08F8"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 xml:space="preserve">As you see, regarding the TV-like character of the programs, we have been confronted with some real big existential questions. To be TV-like or not to be TV-like, that’s the question.  </w:t>
      </w:r>
      <w:r w:rsidR="00017ACA" w:rsidRPr="00994E5C">
        <w:rPr>
          <w:rFonts w:ascii="Segoe UI" w:hAnsi="Segoe UI" w:cs="Segoe UI"/>
          <w:sz w:val="24"/>
          <w:szCs w:val="24"/>
          <w:lang w:val="en-GB"/>
        </w:rPr>
        <w:t>As you know, the question whether the programs ca</w:t>
      </w:r>
      <w:r w:rsidR="00C235E4" w:rsidRPr="00994E5C">
        <w:rPr>
          <w:rFonts w:ascii="Segoe UI" w:hAnsi="Segoe UI" w:cs="Segoe UI"/>
          <w:sz w:val="24"/>
          <w:szCs w:val="24"/>
          <w:lang w:val="en-GB"/>
        </w:rPr>
        <w:t>n be compared to the form and</w:t>
      </w:r>
      <w:r w:rsidR="00017ACA" w:rsidRPr="00994E5C">
        <w:rPr>
          <w:rFonts w:ascii="Segoe UI" w:hAnsi="Segoe UI" w:cs="Segoe UI"/>
          <w:sz w:val="24"/>
          <w:szCs w:val="24"/>
          <w:lang w:val="en-GB"/>
        </w:rPr>
        <w:t xml:space="preserve"> the content of television broadcasting, is an a</w:t>
      </w:r>
      <w:r w:rsidR="003A72F1" w:rsidRPr="00994E5C">
        <w:rPr>
          <w:rFonts w:ascii="Segoe UI" w:hAnsi="Segoe UI" w:cs="Segoe UI"/>
          <w:sz w:val="24"/>
          <w:szCs w:val="24"/>
          <w:lang w:val="en-GB"/>
        </w:rPr>
        <w:t>dditional criterion</w:t>
      </w:r>
      <w:r w:rsidR="00017ACA" w:rsidRPr="00994E5C">
        <w:rPr>
          <w:rFonts w:ascii="Segoe UI" w:hAnsi="Segoe UI" w:cs="Segoe UI"/>
          <w:sz w:val="24"/>
          <w:szCs w:val="24"/>
          <w:lang w:val="en-GB"/>
        </w:rPr>
        <w:t xml:space="preserve"> which is at the end limiting regulation to services on which the viewer is deemed to expect regulation.  However</w:t>
      </w:r>
      <w:r w:rsidR="003A72F1" w:rsidRPr="00994E5C">
        <w:rPr>
          <w:rFonts w:ascii="Segoe UI" w:hAnsi="Segoe UI" w:cs="Segoe UI"/>
          <w:sz w:val="24"/>
          <w:szCs w:val="24"/>
          <w:lang w:val="en-GB"/>
        </w:rPr>
        <w:t>,</w:t>
      </w:r>
      <w:r w:rsidR="00017ACA" w:rsidRPr="00994E5C">
        <w:rPr>
          <w:rFonts w:ascii="Segoe UI" w:hAnsi="Segoe UI" w:cs="Segoe UI"/>
          <w:sz w:val="24"/>
          <w:szCs w:val="24"/>
          <w:lang w:val="en-GB"/>
        </w:rPr>
        <w:t xml:space="preserve"> we do believe that the number and type of services competing with television have been evolving and growing recently. We see the increasing production and consumption of high quality short form of content</w:t>
      </w:r>
      <w:r w:rsidR="00297D78" w:rsidRPr="00994E5C">
        <w:rPr>
          <w:rFonts w:ascii="Segoe UI" w:hAnsi="Segoe UI" w:cs="Segoe UI"/>
          <w:sz w:val="24"/>
          <w:szCs w:val="24"/>
          <w:lang w:val="en-GB"/>
        </w:rPr>
        <w:t xml:space="preserve"> which </w:t>
      </w:r>
      <w:r w:rsidR="00C235E4" w:rsidRPr="00994E5C">
        <w:rPr>
          <w:rFonts w:ascii="Segoe UI" w:hAnsi="Segoe UI" w:cs="Segoe UI"/>
          <w:sz w:val="24"/>
          <w:szCs w:val="24"/>
          <w:lang w:val="en-GB"/>
        </w:rPr>
        <w:t xml:space="preserve">are </w:t>
      </w:r>
      <w:r w:rsidR="00297D78" w:rsidRPr="00994E5C">
        <w:rPr>
          <w:rFonts w:ascii="Segoe UI" w:hAnsi="Segoe UI" w:cs="Segoe UI"/>
          <w:sz w:val="24"/>
          <w:szCs w:val="24"/>
          <w:lang w:val="en-GB"/>
        </w:rPr>
        <w:t>appear</w:t>
      </w:r>
      <w:r w:rsidR="00C235E4" w:rsidRPr="00994E5C">
        <w:rPr>
          <w:rFonts w:ascii="Segoe UI" w:hAnsi="Segoe UI" w:cs="Segoe UI"/>
          <w:sz w:val="24"/>
          <w:szCs w:val="24"/>
          <w:lang w:val="en-GB"/>
        </w:rPr>
        <w:t>ing</w:t>
      </w:r>
      <w:r w:rsidR="00297D78" w:rsidRPr="00994E5C">
        <w:rPr>
          <w:rFonts w:ascii="Segoe UI" w:hAnsi="Segoe UI" w:cs="Segoe UI"/>
          <w:sz w:val="24"/>
          <w:szCs w:val="24"/>
          <w:lang w:val="en-GB"/>
        </w:rPr>
        <w:t xml:space="preserve"> </w:t>
      </w:r>
      <w:r w:rsidR="00297D78" w:rsidRPr="00994E5C">
        <w:rPr>
          <w:rFonts w:ascii="Segoe UI" w:hAnsi="Segoe UI" w:cs="Segoe UI"/>
          <w:sz w:val="24"/>
          <w:szCs w:val="24"/>
          <w:lang w:val="en-GB"/>
        </w:rPr>
        <w:lastRenderedPageBreak/>
        <w:t>on audiovisual platforms</w:t>
      </w:r>
      <w:r w:rsidR="003A72F1" w:rsidRPr="00994E5C">
        <w:rPr>
          <w:rFonts w:ascii="Segoe UI" w:hAnsi="Segoe UI" w:cs="Segoe UI"/>
          <w:sz w:val="24"/>
          <w:szCs w:val="24"/>
          <w:lang w:val="en-GB"/>
        </w:rPr>
        <w:t xml:space="preserve">. In our view, these short form content services </w:t>
      </w:r>
      <w:r w:rsidR="00DD3E50" w:rsidRPr="00994E5C">
        <w:rPr>
          <w:rFonts w:ascii="Segoe UI" w:hAnsi="Segoe UI" w:cs="Segoe UI"/>
          <w:sz w:val="24"/>
          <w:szCs w:val="24"/>
          <w:lang w:val="en-GB"/>
        </w:rPr>
        <w:t xml:space="preserve">can have an impact on the public opinion and </w:t>
      </w:r>
      <w:r w:rsidR="003A72F1" w:rsidRPr="00994E5C">
        <w:rPr>
          <w:rFonts w:ascii="Segoe UI" w:hAnsi="Segoe UI" w:cs="Segoe UI"/>
          <w:sz w:val="24"/>
          <w:szCs w:val="24"/>
          <w:lang w:val="en-GB"/>
        </w:rPr>
        <w:t>are competing with the same audience as television broadcast</w:t>
      </w:r>
      <w:r w:rsidR="00DD3E50" w:rsidRPr="00994E5C">
        <w:rPr>
          <w:rFonts w:ascii="Segoe UI" w:hAnsi="Segoe UI" w:cs="Segoe UI"/>
          <w:sz w:val="24"/>
          <w:szCs w:val="24"/>
          <w:lang w:val="en-GB"/>
        </w:rPr>
        <w:t>. This</w:t>
      </w:r>
      <w:r w:rsidR="003A72F1" w:rsidRPr="00994E5C">
        <w:rPr>
          <w:rFonts w:ascii="Segoe UI" w:hAnsi="Segoe UI" w:cs="Segoe UI"/>
          <w:sz w:val="24"/>
          <w:szCs w:val="24"/>
          <w:lang w:val="en-GB"/>
        </w:rPr>
        <w:t xml:space="preserve"> has been acknowledged by the European Court in its New </w:t>
      </w:r>
      <w:r w:rsidR="00C235E4" w:rsidRPr="00994E5C">
        <w:rPr>
          <w:rFonts w:ascii="Segoe UI" w:hAnsi="Segoe UI" w:cs="Segoe UI"/>
          <w:sz w:val="24"/>
          <w:szCs w:val="24"/>
          <w:lang w:val="en-GB"/>
        </w:rPr>
        <w:t xml:space="preserve">Media </w:t>
      </w:r>
      <w:r w:rsidR="003A72F1" w:rsidRPr="00994E5C">
        <w:rPr>
          <w:rFonts w:ascii="Segoe UI" w:hAnsi="Segoe UI" w:cs="Segoe UI"/>
          <w:sz w:val="24"/>
          <w:szCs w:val="24"/>
          <w:lang w:val="en-GB"/>
        </w:rPr>
        <w:t xml:space="preserve">Online judgement. Therefore, we are not sure that the reference to TV-like </w:t>
      </w:r>
      <w:r w:rsidR="001A0D6D" w:rsidRPr="00994E5C">
        <w:rPr>
          <w:rFonts w:ascii="Segoe UI" w:hAnsi="Segoe UI" w:cs="Segoe UI"/>
          <w:sz w:val="24"/>
          <w:szCs w:val="24"/>
          <w:lang w:val="en-GB"/>
        </w:rPr>
        <w:t xml:space="preserve">character </w:t>
      </w:r>
      <w:r w:rsidR="003A72F1" w:rsidRPr="00994E5C">
        <w:rPr>
          <w:rFonts w:ascii="Segoe UI" w:hAnsi="Segoe UI" w:cs="Segoe UI"/>
          <w:sz w:val="24"/>
          <w:szCs w:val="24"/>
          <w:lang w:val="en-GB"/>
        </w:rPr>
        <w:t>is still meaningful, especially because, as it has been said at ERGA level, such a criterion is unavoidably subjective and could lead to several different interpretations, which is no</w:t>
      </w:r>
      <w:r w:rsidR="00DB50BA" w:rsidRPr="00994E5C">
        <w:rPr>
          <w:rFonts w:ascii="Segoe UI" w:hAnsi="Segoe UI" w:cs="Segoe UI"/>
          <w:sz w:val="24"/>
          <w:szCs w:val="24"/>
          <w:lang w:val="en-GB"/>
        </w:rPr>
        <w:t>t good for the internal market.</w:t>
      </w:r>
    </w:p>
    <w:p w:rsidR="001B4CA9" w:rsidRPr="00994E5C" w:rsidRDefault="00A04C52"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 xml:space="preserve">As regard audiovisual platforms, it has been demonstrated that certain </w:t>
      </w:r>
      <w:r w:rsidR="00917E2F" w:rsidRPr="00994E5C">
        <w:rPr>
          <w:rFonts w:ascii="Segoe UI" w:hAnsi="Segoe UI" w:cs="Segoe UI"/>
          <w:sz w:val="24"/>
          <w:szCs w:val="24"/>
          <w:lang w:val="en-GB"/>
        </w:rPr>
        <w:t xml:space="preserve">platforms </w:t>
      </w:r>
      <w:r w:rsidRPr="00994E5C">
        <w:rPr>
          <w:rFonts w:ascii="Segoe UI" w:hAnsi="Segoe UI" w:cs="Segoe UI"/>
          <w:sz w:val="24"/>
          <w:szCs w:val="24"/>
          <w:lang w:val="en-GB"/>
        </w:rPr>
        <w:t>can play a role in fulfilling some specific goals of the directive, among others: plurality and freedom of information, consumer protection. Against this background</w:t>
      </w:r>
      <w:r w:rsidR="00593328" w:rsidRPr="00994E5C">
        <w:rPr>
          <w:rFonts w:ascii="Segoe UI" w:hAnsi="Segoe UI" w:cs="Segoe UI"/>
          <w:sz w:val="24"/>
          <w:szCs w:val="24"/>
          <w:lang w:val="en-GB"/>
        </w:rPr>
        <w:t>,</w:t>
      </w:r>
      <w:r w:rsidRPr="00994E5C">
        <w:rPr>
          <w:rFonts w:ascii="Segoe UI" w:hAnsi="Segoe UI" w:cs="Segoe UI"/>
          <w:sz w:val="24"/>
          <w:szCs w:val="24"/>
          <w:lang w:val="en-GB"/>
        </w:rPr>
        <w:t xml:space="preserve"> we are wondering whether the concept of editorial responsibility should be rev</w:t>
      </w:r>
      <w:r w:rsidR="0067712B" w:rsidRPr="00994E5C">
        <w:rPr>
          <w:rFonts w:ascii="Segoe UI" w:hAnsi="Segoe UI" w:cs="Segoe UI"/>
          <w:sz w:val="24"/>
          <w:szCs w:val="24"/>
          <w:lang w:val="en-GB"/>
        </w:rPr>
        <w:t>isited or not. The intervention of some hosting providers in the editorial process is of course not to be co</w:t>
      </w:r>
      <w:r w:rsidR="00993056" w:rsidRPr="00994E5C">
        <w:rPr>
          <w:rFonts w:ascii="Segoe UI" w:hAnsi="Segoe UI" w:cs="Segoe UI"/>
          <w:sz w:val="24"/>
          <w:szCs w:val="24"/>
          <w:lang w:val="en-GB"/>
        </w:rPr>
        <w:t>mpared with the editorial intervention</w:t>
      </w:r>
      <w:r w:rsidR="0067712B" w:rsidRPr="00994E5C">
        <w:rPr>
          <w:rFonts w:ascii="Segoe UI" w:hAnsi="Segoe UI" w:cs="Segoe UI"/>
          <w:sz w:val="24"/>
          <w:szCs w:val="24"/>
          <w:lang w:val="en-GB"/>
        </w:rPr>
        <w:t xml:space="preserve"> of other players. At th</w:t>
      </w:r>
      <w:r w:rsidR="00711909" w:rsidRPr="00994E5C">
        <w:rPr>
          <w:rFonts w:ascii="Segoe UI" w:hAnsi="Segoe UI" w:cs="Segoe UI"/>
          <w:sz w:val="24"/>
          <w:szCs w:val="24"/>
          <w:lang w:val="en-GB"/>
        </w:rPr>
        <w:t>e same time, suggesting that</w:t>
      </w:r>
      <w:r w:rsidR="0067712B" w:rsidRPr="00994E5C">
        <w:rPr>
          <w:rFonts w:ascii="Segoe UI" w:hAnsi="Segoe UI" w:cs="Segoe UI"/>
          <w:sz w:val="24"/>
          <w:szCs w:val="24"/>
          <w:lang w:val="en-GB"/>
        </w:rPr>
        <w:t xml:space="preserve"> videos uploaded by users are completely escaping the hosting providers’ control might appear</w:t>
      </w:r>
      <w:r w:rsidR="00711909" w:rsidRPr="00994E5C">
        <w:rPr>
          <w:rFonts w:ascii="Segoe UI" w:hAnsi="Segoe UI" w:cs="Segoe UI"/>
          <w:sz w:val="24"/>
          <w:szCs w:val="24"/>
          <w:lang w:val="en-GB"/>
        </w:rPr>
        <w:t xml:space="preserve"> excessive. At least, it should be recognised </w:t>
      </w:r>
      <w:r w:rsidR="0067712B" w:rsidRPr="00994E5C">
        <w:rPr>
          <w:rFonts w:ascii="Segoe UI" w:hAnsi="Segoe UI" w:cs="Segoe UI"/>
          <w:sz w:val="24"/>
          <w:szCs w:val="24"/>
          <w:lang w:val="en-GB"/>
        </w:rPr>
        <w:t xml:space="preserve">that they </w:t>
      </w:r>
      <w:r w:rsidR="00711909" w:rsidRPr="00994E5C">
        <w:rPr>
          <w:rFonts w:ascii="Segoe UI" w:hAnsi="Segoe UI" w:cs="Segoe UI"/>
          <w:sz w:val="24"/>
          <w:szCs w:val="24"/>
          <w:lang w:val="en-GB"/>
        </w:rPr>
        <w:t>play a role in organising</w:t>
      </w:r>
      <w:r w:rsidR="0067712B" w:rsidRPr="00994E5C">
        <w:rPr>
          <w:rFonts w:ascii="Segoe UI" w:hAnsi="Segoe UI" w:cs="Segoe UI"/>
          <w:sz w:val="24"/>
          <w:szCs w:val="24"/>
          <w:lang w:val="en-GB"/>
        </w:rPr>
        <w:t xml:space="preserve"> </w:t>
      </w:r>
      <w:r w:rsidR="00711909" w:rsidRPr="00994E5C">
        <w:rPr>
          <w:rFonts w:ascii="Segoe UI" w:hAnsi="Segoe UI" w:cs="Segoe UI"/>
          <w:sz w:val="24"/>
          <w:szCs w:val="24"/>
          <w:lang w:val="en-GB"/>
        </w:rPr>
        <w:t>the way the content is</w:t>
      </w:r>
      <w:r w:rsidR="0067712B" w:rsidRPr="00994E5C">
        <w:rPr>
          <w:rFonts w:ascii="Segoe UI" w:hAnsi="Segoe UI" w:cs="Segoe UI"/>
          <w:sz w:val="24"/>
          <w:szCs w:val="24"/>
          <w:lang w:val="en-GB"/>
        </w:rPr>
        <w:t xml:space="preserve"> appear</w:t>
      </w:r>
      <w:r w:rsidR="00711909" w:rsidRPr="00994E5C">
        <w:rPr>
          <w:rFonts w:ascii="Segoe UI" w:hAnsi="Segoe UI" w:cs="Segoe UI"/>
          <w:sz w:val="24"/>
          <w:szCs w:val="24"/>
          <w:lang w:val="en-GB"/>
        </w:rPr>
        <w:t>ing on their website. Promoti</w:t>
      </w:r>
      <w:r w:rsidR="0067712B" w:rsidRPr="00994E5C">
        <w:rPr>
          <w:rFonts w:ascii="Segoe UI" w:hAnsi="Segoe UI" w:cs="Segoe UI"/>
          <w:sz w:val="24"/>
          <w:szCs w:val="24"/>
          <w:lang w:val="en-GB"/>
        </w:rPr>
        <w:t>n</w:t>
      </w:r>
      <w:r w:rsidR="00711909" w:rsidRPr="00994E5C">
        <w:rPr>
          <w:rFonts w:ascii="Segoe UI" w:hAnsi="Segoe UI" w:cs="Segoe UI"/>
          <w:sz w:val="24"/>
          <w:szCs w:val="24"/>
          <w:lang w:val="en-GB"/>
        </w:rPr>
        <w:t>g this content, recommending it to their customers and holding the right to modify this content are as much actions which can have a substantial infl</w:t>
      </w:r>
      <w:r w:rsidR="001B4CA9" w:rsidRPr="00994E5C">
        <w:rPr>
          <w:rFonts w:ascii="Segoe UI" w:hAnsi="Segoe UI" w:cs="Segoe UI"/>
          <w:sz w:val="24"/>
          <w:szCs w:val="24"/>
          <w:lang w:val="en-GB"/>
        </w:rPr>
        <w:t xml:space="preserve">uence on the opinion. </w:t>
      </w:r>
      <w:r w:rsidR="006366DD" w:rsidRPr="00994E5C">
        <w:rPr>
          <w:rFonts w:ascii="Segoe UI" w:hAnsi="Segoe UI" w:cs="Segoe UI"/>
          <w:sz w:val="24"/>
          <w:szCs w:val="24"/>
          <w:lang w:val="en-GB"/>
        </w:rPr>
        <w:t xml:space="preserve">In a nutshell, some platforms, to some extent, are telling us who we are and what we should have in mind. </w:t>
      </w:r>
      <w:r w:rsidR="001B4CA9" w:rsidRPr="00994E5C">
        <w:rPr>
          <w:rFonts w:ascii="Segoe UI" w:hAnsi="Segoe UI" w:cs="Segoe UI"/>
          <w:sz w:val="24"/>
          <w:szCs w:val="24"/>
          <w:lang w:val="en-GB"/>
        </w:rPr>
        <w:t>Pierre Les</w:t>
      </w:r>
      <w:r w:rsidR="003C12A3" w:rsidRPr="00994E5C">
        <w:rPr>
          <w:rFonts w:ascii="Segoe UI" w:hAnsi="Segoe UI" w:cs="Segoe UI"/>
          <w:sz w:val="24"/>
          <w:szCs w:val="24"/>
          <w:lang w:val="en-GB"/>
        </w:rPr>
        <w:t xml:space="preserve">cure wrote in a </w:t>
      </w:r>
      <w:r w:rsidR="001B4CA9" w:rsidRPr="00994E5C">
        <w:rPr>
          <w:rFonts w:ascii="Segoe UI" w:hAnsi="Segoe UI" w:cs="Segoe UI"/>
          <w:sz w:val="24"/>
          <w:szCs w:val="24"/>
          <w:lang w:val="en-GB"/>
        </w:rPr>
        <w:t>report that there is a human being behind each algorithm and each update of it could be as</w:t>
      </w:r>
      <w:r w:rsidR="00C235E4" w:rsidRPr="00994E5C">
        <w:rPr>
          <w:rFonts w:ascii="Segoe UI" w:hAnsi="Segoe UI" w:cs="Segoe UI"/>
          <w:sz w:val="24"/>
          <w:szCs w:val="24"/>
          <w:lang w:val="en-GB"/>
        </w:rPr>
        <w:t>similated to an editorial intervention</w:t>
      </w:r>
      <w:r w:rsidR="001B4CA9" w:rsidRPr="00994E5C">
        <w:rPr>
          <w:rFonts w:ascii="Segoe UI" w:hAnsi="Segoe UI" w:cs="Segoe UI"/>
          <w:sz w:val="24"/>
          <w:szCs w:val="24"/>
          <w:lang w:val="en-GB"/>
        </w:rPr>
        <w:t xml:space="preserve">. </w:t>
      </w:r>
    </w:p>
    <w:p w:rsidR="00461127" w:rsidRPr="00994E5C" w:rsidRDefault="006366DD"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Having said that, t</w:t>
      </w:r>
      <w:r w:rsidR="001B4CA9" w:rsidRPr="00994E5C">
        <w:rPr>
          <w:rFonts w:ascii="Segoe UI" w:hAnsi="Segoe UI" w:cs="Segoe UI"/>
          <w:sz w:val="24"/>
          <w:szCs w:val="24"/>
          <w:lang w:val="en-GB"/>
        </w:rPr>
        <w:t xml:space="preserve">he CSA is bearing in mind that economic models should not be endangered. Along these lines, requesting that hosting providers would </w:t>
      </w:r>
      <w:r w:rsidR="00593328" w:rsidRPr="00994E5C">
        <w:rPr>
          <w:rFonts w:ascii="Segoe UI" w:hAnsi="Segoe UI" w:cs="Segoe UI"/>
          <w:sz w:val="24"/>
          <w:szCs w:val="24"/>
          <w:lang w:val="en-GB"/>
        </w:rPr>
        <w:t xml:space="preserve">be </w:t>
      </w:r>
      <w:r w:rsidR="001B4CA9" w:rsidRPr="00994E5C">
        <w:rPr>
          <w:rFonts w:ascii="Segoe UI" w:hAnsi="Segoe UI" w:cs="Segoe UI"/>
          <w:sz w:val="24"/>
          <w:szCs w:val="24"/>
          <w:lang w:val="en-GB"/>
        </w:rPr>
        <w:t xml:space="preserve">reviewing each video before being uploaded might </w:t>
      </w:r>
      <w:r w:rsidR="00C235E4" w:rsidRPr="00994E5C">
        <w:rPr>
          <w:rFonts w:ascii="Segoe UI" w:hAnsi="Segoe UI" w:cs="Segoe UI"/>
          <w:sz w:val="24"/>
          <w:szCs w:val="24"/>
          <w:lang w:val="en-GB"/>
        </w:rPr>
        <w:t xml:space="preserve">be many </w:t>
      </w:r>
      <w:r w:rsidR="001546BE" w:rsidRPr="00994E5C">
        <w:rPr>
          <w:rFonts w:ascii="Segoe UI" w:hAnsi="Segoe UI" w:cs="Segoe UI"/>
          <w:sz w:val="24"/>
          <w:szCs w:val="24"/>
          <w:lang w:val="en-GB"/>
        </w:rPr>
        <w:t>step</w:t>
      </w:r>
      <w:r w:rsidR="00C235E4" w:rsidRPr="00994E5C">
        <w:rPr>
          <w:rFonts w:ascii="Segoe UI" w:hAnsi="Segoe UI" w:cs="Segoe UI"/>
          <w:sz w:val="24"/>
          <w:szCs w:val="24"/>
          <w:lang w:val="en-GB"/>
        </w:rPr>
        <w:t>s</w:t>
      </w:r>
      <w:r w:rsidR="001546BE" w:rsidRPr="00994E5C">
        <w:rPr>
          <w:rFonts w:ascii="Segoe UI" w:hAnsi="Segoe UI" w:cs="Segoe UI"/>
          <w:sz w:val="24"/>
          <w:szCs w:val="24"/>
          <w:lang w:val="en-GB"/>
        </w:rPr>
        <w:t xml:space="preserve"> too far. </w:t>
      </w:r>
    </w:p>
    <w:p w:rsidR="005B18E1" w:rsidRPr="00994E5C" w:rsidRDefault="001546BE"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I</w:t>
      </w:r>
      <w:r w:rsidR="00593328" w:rsidRPr="00994E5C">
        <w:rPr>
          <w:rFonts w:ascii="Segoe UI" w:hAnsi="Segoe UI" w:cs="Segoe UI"/>
          <w:sz w:val="24"/>
          <w:szCs w:val="24"/>
          <w:lang w:val="en-GB"/>
        </w:rPr>
        <w:t xml:space="preserve">n our contribution to the European debate, we </w:t>
      </w:r>
      <w:r w:rsidR="003C12A3" w:rsidRPr="00994E5C">
        <w:rPr>
          <w:rFonts w:ascii="Segoe UI" w:hAnsi="Segoe UI" w:cs="Segoe UI"/>
          <w:sz w:val="24"/>
          <w:szCs w:val="24"/>
          <w:lang w:val="en-GB"/>
        </w:rPr>
        <w:t>proposed</w:t>
      </w:r>
      <w:r w:rsidR="00C84727" w:rsidRPr="00994E5C">
        <w:rPr>
          <w:rFonts w:ascii="Segoe UI" w:hAnsi="Segoe UI" w:cs="Segoe UI"/>
          <w:sz w:val="24"/>
          <w:szCs w:val="24"/>
          <w:lang w:val="en-GB"/>
        </w:rPr>
        <w:t xml:space="preserve"> </w:t>
      </w:r>
      <w:r w:rsidR="002F5C65" w:rsidRPr="00994E5C">
        <w:rPr>
          <w:rFonts w:ascii="Segoe UI" w:hAnsi="Segoe UI" w:cs="Segoe UI"/>
          <w:sz w:val="24"/>
          <w:szCs w:val="24"/>
          <w:lang w:val="en-GB"/>
        </w:rPr>
        <w:t>creating a new subject of rights and obligation</w:t>
      </w:r>
      <w:r w:rsidR="00C84727" w:rsidRPr="00994E5C">
        <w:rPr>
          <w:rFonts w:ascii="Segoe UI" w:hAnsi="Segoe UI" w:cs="Segoe UI"/>
          <w:sz w:val="24"/>
          <w:szCs w:val="24"/>
          <w:lang w:val="en-GB"/>
        </w:rPr>
        <w:t>s</w:t>
      </w:r>
      <w:r w:rsidR="002F5C65" w:rsidRPr="00994E5C">
        <w:rPr>
          <w:rFonts w:ascii="Segoe UI" w:hAnsi="Segoe UI" w:cs="Segoe UI"/>
          <w:sz w:val="24"/>
          <w:szCs w:val="24"/>
          <w:lang w:val="en-GB"/>
        </w:rPr>
        <w:t xml:space="preserve"> in </w:t>
      </w:r>
      <w:r w:rsidR="00593328" w:rsidRPr="00994E5C">
        <w:rPr>
          <w:rFonts w:ascii="Segoe UI" w:hAnsi="Segoe UI" w:cs="Segoe UI"/>
          <w:sz w:val="24"/>
          <w:szCs w:val="24"/>
          <w:lang w:val="en-GB"/>
        </w:rPr>
        <w:t>the AVMS</w:t>
      </w:r>
      <w:r w:rsidRPr="00994E5C">
        <w:rPr>
          <w:rFonts w:ascii="Segoe UI" w:hAnsi="Segoe UI" w:cs="Segoe UI"/>
          <w:sz w:val="24"/>
          <w:szCs w:val="24"/>
          <w:lang w:val="en-GB"/>
        </w:rPr>
        <w:t>D</w:t>
      </w:r>
      <w:r w:rsidR="00593328" w:rsidRPr="00994E5C">
        <w:rPr>
          <w:rFonts w:ascii="Segoe UI" w:hAnsi="Segoe UI" w:cs="Segoe UI"/>
          <w:sz w:val="24"/>
          <w:szCs w:val="24"/>
          <w:lang w:val="en-GB"/>
        </w:rPr>
        <w:t xml:space="preserve">. </w:t>
      </w:r>
      <w:r w:rsidR="002F5C65" w:rsidRPr="00994E5C">
        <w:rPr>
          <w:rFonts w:ascii="Segoe UI" w:hAnsi="Segoe UI" w:cs="Segoe UI"/>
          <w:sz w:val="24"/>
          <w:szCs w:val="24"/>
          <w:lang w:val="en-GB"/>
        </w:rPr>
        <w:t xml:space="preserve">This new </w:t>
      </w:r>
      <w:r w:rsidR="00C717F6" w:rsidRPr="00994E5C">
        <w:rPr>
          <w:rFonts w:ascii="Segoe UI" w:hAnsi="Segoe UI" w:cs="Segoe UI"/>
          <w:sz w:val="24"/>
          <w:szCs w:val="24"/>
          <w:lang w:val="en-GB"/>
        </w:rPr>
        <w:t>category would cover all platforms distribu</w:t>
      </w:r>
      <w:r w:rsidR="00C84727" w:rsidRPr="00994E5C">
        <w:rPr>
          <w:rFonts w:ascii="Segoe UI" w:hAnsi="Segoe UI" w:cs="Segoe UI"/>
          <w:sz w:val="24"/>
          <w:szCs w:val="24"/>
          <w:lang w:val="en-GB"/>
        </w:rPr>
        <w:t>ting audiovisual media services</w:t>
      </w:r>
      <w:r w:rsidR="00766283" w:rsidRPr="00994E5C">
        <w:rPr>
          <w:rFonts w:ascii="Segoe UI" w:hAnsi="Segoe UI" w:cs="Segoe UI"/>
          <w:sz w:val="24"/>
          <w:szCs w:val="24"/>
          <w:lang w:val="en-GB"/>
        </w:rPr>
        <w:t>. O</w:t>
      </w:r>
      <w:r w:rsidR="00C84727" w:rsidRPr="00994E5C">
        <w:rPr>
          <w:rFonts w:ascii="Segoe UI" w:hAnsi="Segoe UI" w:cs="Segoe UI"/>
          <w:sz w:val="24"/>
          <w:szCs w:val="24"/>
          <w:lang w:val="en-GB"/>
        </w:rPr>
        <w:t xml:space="preserve">bligations </w:t>
      </w:r>
      <w:r w:rsidR="00766283" w:rsidRPr="00994E5C">
        <w:rPr>
          <w:rFonts w:ascii="Segoe UI" w:hAnsi="Segoe UI" w:cs="Segoe UI"/>
          <w:sz w:val="24"/>
          <w:szCs w:val="24"/>
          <w:lang w:val="en-GB"/>
        </w:rPr>
        <w:t>linked to this category</w:t>
      </w:r>
      <w:r w:rsidR="00C84727" w:rsidRPr="00994E5C">
        <w:rPr>
          <w:rFonts w:ascii="Segoe UI" w:hAnsi="Segoe UI" w:cs="Segoe UI"/>
          <w:sz w:val="24"/>
          <w:szCs w:val="24"/>
          <w:lang w:val="en-GB"/>
        </w:rPr>
        <w:t xml:space="preserve"> </w:t>
      </w:r>
      <w:r w:rsidR="00766283" w:rsidRPr="00994E5C">
        <w:rPr>
          <w:rFonts w:ascii="Segoe UI" w:hAnsi="Segoe UI" w:cs="Segoe UI"/>
          <w:sz w:val="24"/>
          <w:szCs w:val="24"/>
          <w:lang w:val="en-GB"/>
        </w:rPr>
        <w:t xml:space="preserve">could relate to the </w:t>
      </w:r>
      <w:r w:rsidR="00C84727" w:rsidRPr="00994E5C">
        <w:rPr>
          <w:rFonts w:ascii="Segoe UI" w:hAnsi="Segoe UI" w:cs="Segoe UI"/>
          <w:sz w:val="24"/>
          <w:szCs w:val="24"/>
          <w:lang w:val="en-GB"/>
        </w:rPr>
        <w:t xml:space="preserve">access to these platforms, </w:t>
      </w:r>
      <w:r w:rsidR="00E11696" w:rsidRPr="00994E5C">
        <w:rPr>
          <w:rFonts w:ascii="Segoe UI" w:hAnsi="Segoe UI" w:cs="Segoe UI"/>
          <w:sz w:val="24"/>
          <w:szCs w:val="24"/>
          <w:lang w:val="en-GB"/>
        </w:rPr>
        <w:t>findability of</w:t>
      </w:r>
      <w:r w:rsidR="00C84727" w:rsidRPr="00994E5C">
        <w:rPr>
          <w:rFonts w:ascii="Segoe UI" w:hAnsi="Segoe UI" w:cs="Segoe UI"/>
          <w:sz w:val="24"/>
          <w:szCs w:val="24"/>
          <w:lang w:val="en-GB"/>
        </w:rPr>
        <w:t xml:space="preserve"> European works</w:t>
      </w:r>
      <w:r w:rsidR="00E11696" w:rsidRPr="00994E5C">
        <w:rPr>
          <w:rFonts w:ascii="Segoe UI" w:hAnsi="Segoe UI" w:cs="Segoe UI"/>
          <w:sz w:val="24"/>
          <w:szCs w:val="24"/>
          <w:lang w:val="en-GB"/>
        </w:rPr>
        <w:t>, and investment in local content</w:t>
      </w:r>
      <w:r w:rsidR="00C84727" w:rsidRPr="00994E5C">
        <w:rPr>
          <w:rFonts w:ascii="Segoe UI" w:hAnsi="Segoe UI" w:cs="Segoe UI"/>
          <w:sz w:val="24"/>
          <w:szCs w:val="24"/>
          <w:lang w:val="en-GB"/>
        </w:rPr>
        <w:t xml:space="preserve"> for instance. </w:t>
      </w:r>
      <w:r w:rsidR="003C12A3" w:rsidRPr="00994E5C">
        <w:rPr>
          <w:rFonts w:ascii="Segoe UI" w:hAnsi="Segoe UI" w:cs="Segoe UI"/>
          <w:sz w:val="24"/>
          <w:szCs w:val="24"/>
          <w:lang w:val="en-GB"/>
        </w:rPr>
        <w:t>There are different existing legal regimes which could be inspiring</w:t>
      </w:r>
      <w:r w:rsidR="004A0621" w:rsidRPr="00994E5C">
        <w:rPr>
          <w:rFonts w:ascii="Segoe UI" w:hAnsi="Segoe UI" w:cs="Segoe UI"/>
          <w:sz w:val="24"/>
          <w:szCs w:val="24"/>
          <w:lang w:val="en-GB"/>
        </w:rPr>
        <w:t xml:space="preserve"> as you</w:t>
      </w:r>
      <w:r w:rsidR="003C12A3" w:rsidRPr="00994E5C">
        <w:rPr>
          <w:rFonts w:ascii="Segoe UI" w:hAnsi="Segoe UI" w:cs="Segoe UI"/>
          <w:sz w:val="24"/>
          <w:szCs w:val="24"/>
          <w:lang w:val="en-GB"/>
        </w:rPr>
        <w:t xml:space="preserve"> heard </w:t>
      </w:r>
      <w:r w:rsidR="004A0621" w:rsidRPr="00994E5C">
        <w:rPr>
          <w:rFonts w:ascii="Segoe UI" w:hAnsi="Segoe UI" w:cs="Segoe UI"/>
          <w:sz w:val="24"/>
          <w:szCs w:val="24"/>
          <w:lang w:val="en-GB"/>
        </w:rPr>
        <w:t>this mornin</w:t>
      </w:r>
      <w:r w:rsidR="00532995" w:rsidRPr="00994E5C">
        <w:rPr>
          <w:rFonts w:ascii="Segoe UI" w:hAnsi="Segoe UI" w:cs="Segoe UI"/>
          <w:sz w:val="24"/>
          <w:szCs w:val="24"/>
          <w:lang w:val="en-GB"/>
        </w:rPr>
        <w:t>g. Of course the e-commerce</w:t>
      </w:r>
      <w:r w:rsidR="004A0621" w:rsidRPr="00994E5C">
        <w:rPr>
          <w:rFonts w:ascii="Segoe UI" w:hAnsi="Segoe UI" w:cs="Segoe UI"/>
          <w:sz w:val="24"/>
          <w:szCs w:val="24"/>
          <w:lang w:val="en-GB"/>
        </w:rPr>
        <w:t xml:space="preserve"> directive should be reviewed in parallel</w:t>
      </w:r>
      <w:r w:rsidR="00532995" w:rsidRPr="00994E5C">
        <w:rPr>
          <w:rFonts w:ascii="Segoe UI" w:hAnsi="Segoe UI" w:cs="Segoe UI"/>
          <w:sz w:val="24"/>
          <w:szCs w:val="24"/>
          <w:lang w:val="en-GB"/>
        </w:rPr>
        <w:t>, which is not the case</w:t>
      </w:r>
      <w:r w:rsidR="004A0621" w:rsidRPr="00994E5C">
        <w:rPr>
          <w:rFonts w:ascii="Segoe UI" w:hAnsi="Segoe UI" w:cs="Segoe UI"/>
          <w:sz w:val="24"/>
          <w:szCs w:val="24"/>
          <w:lang w:val="en-GB"/>
        </w:rPr>
        <w:t>.</w:t>
      </w:r>
      <w:r w:rsidR="00532995" w:rsidRPr="00994E5C">
        <w:rPr>
          <w:rFonts w:ascii="Segoe UI" w:hAnsi="Segoe UI" w:cs="Segoe UI"/>
          <w:sz w:val="24"/>
          <w:szCs w:val="24"/>
          <w:lang w:val="en-GB"/>
        </w:rPr>
        <w:t xml:space="preserve"> </w:t>
      </w:r>
      <w:r w:rsidR="0054081C" w:rsidRPr="00994E5C">
        <w:rPr>
          <w:rFonts w:ascii="Segoe UI" w:hAnsi="Segoe UI" w:cs="Segoe UI"/>
          <w:sz w:val="24"/>
          <w:szCs w:val="24"/>
          <w:lang w:val="en-GB"/>
        </w:rPr>
        <w:t>This is n</w:t>
      </w:r>
      <w:r w:rsidR="00532995" w:rsidRPr="00994E5C">
        <w:rPr>
          <w:rFonts w:ascii="Segoe UI" w:hAnsi="Segoe UI" w:cs="Segoe UI"/>
          <w:sz w:val="24"/>
          <w:szCs w:val="24"/>
          <w:lang w:val="en-GB"/>
        </w:rPr>
        <w:t>ot good Lorena.</w:t>
      </w:r>
      <w:r w:rsidR="004A0621" w:rsidRPr="00994E5C">
        <w:rPr>
          <w:rFonts w:ascii="Segoe UI" w:hAnsi="Segoe UI" w:cs="Segoe UI"/>
          <w:sz w:val="24"/>
          <w:szCs w:val="24"/>
          <w:lang w:val="en-GB"/>
        </w:rPr>
        <w:t xml:space="preserve"> I will not go into the details of these obligations, but we deem that this proposal is reasonable as it aims at restoring the level playing field. </w:t>
      </w:r>
      <w:r w:rsidR="00532995" w:rsidRPr="00994E5C">
        <w:rPr>
          <w:rFonts w:ascii="Segoe UI" w:hAnsi="Segoe UI" w:cs="Segoe UI"/>
          <w:sz w:val="24"/>
          <w:szCs w:val="24"/>
          <w:lang w:val="en-GB"/>
        </w:rPr>
        <w:t xml:space="preserve"> We will not be r</w:t>
      </w:r>
      <w:r w:rsidR="00AC3831" w:rsidRPr="00994E5C">
        <w:rPr>
          <w:rFonts w:ascii="Segoe UI" w:hAnsi="Segoe UI" w:cs="Segoe UI"/>
          <w:sz w:val="24"/>
          <w:szCs w:val="24"/>
          <w:lang w:val="en-GB"/>
        </w:rPr>
        <w:t>egulating all</w:t>
      </w:r>
      <w:r w:rsidR="00E11696" w:rsidRPr="00994E5C">
        <w:rPr>
          <w:rFonts w:ascii="Segoe UI" w:hAnsi="Segoe UI" w:cs="Segoe UI"/>
          <w:sz w:val="24"/>
          <w:szCs w:val="24"/>
          <w:lang w:val="en-GB"/>
        </w:rPr>
        <w:t xml:space="preserve"> audiovisual platforms</w:t>
      </w:r>
      <w:r w:rsidR="00AC3831" w:rsidRPr="00994E5C">
        <w:rPr>
          <w:rFonts w:ascii="Segoe UI" w:hAnsi="Segoe UI" w:cs="Segoe UI"/>
          <w:sz w:val="24"/>
          <w:szCs w:val="24"/>
          <w:lang w:val="en-GB"/>
        </w:rPr>
        <w:t xml:space="preserve">; it would be impossible, counterproductive and bad for businesses. Instead, compliance could be mandatory only for services with turnovers exceeding a specific threshold, reflecting their </w:t>
      </w:r>
      <w:r w:rsidR="00532995" w:rsidRPr="00994E5C">
        <w:rPr>
          <w:rFonts w:ascii="Segoe UI" w:hAnsi="Segoe UI" w:cs="Segoe UI"/>
          <w:sz w:val="24"/>
          <w:szCs w:val="24"/>
          <w:lang w:val="en-GB"/>
        </w:rPr>
        <w:t xml:space="preserve">significant market position and therefore their </w:t>
      </w:r>
      <w:r w:rsidR="00AC3831" w:rsidRPr="00994E5C">
        <w:rPr>
          <w:rFonts w:ascii="Segoe UI" w:hAnsi="Segoe UI" w:cs="Segoe UI"/>
          <w:sz w:val="24"/>
          <w:szCs w:val="24"/>
          <w:lang w:val="en-GB"/>
        </w:rPr>
        <w:t>possible impact on the opinion. We think that with big mone</w:t>
      </w:r>
      <w:r w:rsidR="005C0657" w:rsidRPr="00994E5C">
        <w:rPr>
          <w:rFonts w:ascii="Segoe UI" w:hAnsi="Segoe UI" w:cs="Segoe UI"/>
          <w:sz w:val="24"/>
          <w:szCs w:val="24"/>
          <w:lang w:val="en-GB"/>
        </w:rPr>
        <w:t>y, come bigger responsibilities.</w:t>
      </w:r>
    </w:p>
    <w:p w:rsidR="004D45A7" w:rsidRPr="00994E5C" w:rsidRDefault="004D45A7" w:rsidP="005F5010">
      <w:pPr>
        <w:spacing w:line="240" w:lineRule="auto"/>
        <w:jc w:val="both"/>
        <w:rPr>
          <w:rFonts w:ascii="Segoe UI" w:hAnsi="Segoe UI" w:cs="Segoe UI"/>
          <w:sz w:val="24"/>
          <w:szCs w:val="24"/>
          <w:lang w:val="en-GB"/>
        </w:rPr>
      </w:pPr>
    </w:p>
    <w:p w:rsidR="004D45A7" w:rsidRPr="00994E5C" w:rsidRDefault="004D45A7" w:rsidP="005F5010">
      <w:pPr>
        <w:spacing w:line="240" w:lineRule="auto"/>
        <w:jc w:val="both"/>
        <w:rPr>
          <w:rFonts w:ascii="Segoe UI" w:hAnsi="Segoe UI" w:cs="Segoe UI"/>
          <w:sz w:val="24"/>
          <w:szCs w:val="24"/>
          <w:lang w:val="en-GB"/>
        </w:rPr>
      </w:pPr>
      <w:r w:rsidRPr="00994E5C">
        <w:rPr>
          <w:rFonts w:ascii="Segoe UI" w:hAnsi="Segoe UI" w:cs="Segoe UI"/>
          <w:sz w:val="24"/>
          <w:szCs w:val="24"/>
          <w:lang w:val="en-GB"/>
        </w:rPr>
        <w:t>Bernardo Herman</w:t>
      </w:r>
    </w:p>
    <w:sectPr w:rsidR="004D45A7" w:rsidRPr="00994E5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E6" w:rsidRDefault="000135E6" w:rsidP="00995CAC">
      <w:pPr>
        <w:spacing w:after="0" w:line="240" w:lineRule="auto"/>
      </w:pPr>
      <w:r>
        <w:separator/>
      </w:r>
    </w:p>
  </w:endnote>
  <w:endnote w:type="continuationSeparator" w:id="0">
    <w:p w:rsidR="000135E6" w:rsidRDefault="000135E6" w:rsidP="0099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512017"/>
      <w:docPartObj>
        <w:docPartGallery w:val="Page Numbers (Bottom of Page)"/>
        <w:docPartUnique/>
      </w:docPartObj>
    </w:sdtPr>
    <w:sdtEndPr/>
    <w:sdtContent>
      <w:p w:rsidR="00995CAC" w:rsidRDefault="00995CAC">
        <w:pPr>
          <w:pStyle w:val="Pieddepage"/>
          <w:jc w:val="right"/>
        </w:pPr>
        <w:r>
          <w:fldChar w:fldCharType="begin"/>
        </w:r>
        <w:r>
          <w:instrText>PAGE   \* MERGEFORMAT</w:instrText>
        </w:r>
        <w:r>
          <w:fldChar w:fldCharType="separate"/>
        </w:r>
        <w:r w:rsidR="002C2ACD" w:rsidRPr="002C2ACD">
          <w:rPr>
            <w:noProof/>
            <w:lang w:val="fr-FR"/>
          </w:rPr>
          <w:t>1</w:t>
        </w:r>
        <w:r>
          <w:fldChar w:fldCharType="end"/>
        </w:r>
      </w:p>
    </w:sdtContent>
  </w:sdt>
  <w:p w:rsidR="00995CAC" w:rsidRDefault="00995C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E6" w:rsidRDefault="000135E6" w:rsidP="00995CAC">
      <w:pPr>
        <w:spacing w:after="0" w:line="240" w:lineRule="auto"/>
      </w:pPr>
      <w:r>
        <w:separator/>
      </w:r>
    </w:p>
  </w:footnote>
  <w:footnote w:type="continuationSeparator" w:id="0">
    <w:p w:rsidR="000135E6" w:rsidRDefault="000135E6" w:rsidP="00995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5C" w:rsidRPr="00994E5C" w:rsidRDefault="00994E5C" w:rsidP="00994E5C">
    <w:pPr>
      <w:pStyle w:val="En-tte"/>
      <w:rPr>
        <w:lang w:val="en-GB"/>
      </w:rPr>
    </w:pPr>
    <w:r w:rsidRPr="00994E5C">
      <w:rPr>
        <w:lang w:val="en-GB"/>
      </w:rPr>
      <w:t>The Platform is the Message! – 10 March 2016, Vaudeville Theatre</w:t>
    </w:r>
  </w:p>
  <w:p w:rsidR="00994E5C" w:rsidRPr="00994E5C" w:rsidRDefault="00994E5C">
    <w:pPr>
      <w:pStyle w:val="En-tt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57E2"/>
    <w:multiLevelType w:val="hybridMultilevel"/>
    <w:tmpl w:val="A5B0EF4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F0B63E4"/>
    <w:multiLevelType w:val="hybridMultilevel"/>
    <w:tmpl w:val="CA34C2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7"/>
    <w:rsid w:val="000135E6"/>
    <w:rsid w:val="00017ACA"/>
    <w:rsid w:val="0007380F"/>
    <w:rsid w:val="0009361D"/>
    <w:rsid w:val="000F1E0C"/>
    <w:rsid w:val="001546BE"/>
    <w:rsid w:val="00183B18"/>
    <w:rsid w:val="001A0D6D"/>
    <w:rsid w:val="001B4CA9"/>
    <w:rsid w:val="00297D78"/>
    <w:rsid w:val="002C2ACD"/>
    <w:rsid w:val="002D1C44"/>
    <w:rsid w:val="002F5C65"/>
    <w:rsid w:val="00314E28"/>
    <w:rsid w:val="003A72F1"/>
    <w:rsid w:val="003B09C7"/>
    <w:rsid w:val="003C12A3"/>
    <w:rsid w:val="00461127"/>
    <w:rsid w:val="004A0621"/>
    <w:rsid w:val="004B1332"/>
    <w:rsid w:val="004D16DB"/>
    <w:rsid w:val="004D45A7"/>
    <w:rsid w:val="00525198"/>
    <w:rsid w:val="00532995"/>
    <w:rsid w:val="0054081C"/>
    <w:rsid w:val="00593328"/>
    <w:rsid w:val="005B18E1"/>
    <w:rsid w:val="005C0657"/>
    <w:rsid w:val="005C3407"/>
    <w:rsid w:val="005E6FC5"/>
    <w:rsid w:val="005F5010"/>
    <w:rsid w:val="006366DD"/>
    <w:rsid w:val="0067712B"/>
    <w:rsid w:val="00711909"/>
    <w:rsid w:val="00743F23"/>
    <w:rsid w:val="007537ED"/>
    <w:rsid w:val="00766283"/>
    <w:rsid w:val="00767B66"/>
    <w:rsid w:val="0079167C"/>
    <w:rsid w:val="007E59F9"/>
    <w:rsid w:val="00917E2F"/>
    <w:rsid w:val="00917F00"/>
    <w:rsid w:val="00953663"/>
    <w:rsid w:val="00971697"/>
    <w:rsid w:val="00993056"/>
    <w:rsid w:val="00994E5C"/>
    <w:rsid w:val="00995CAC"/>
    <w:rsid w:val="00A04C52"/>
    <w:rsid w:val="00A71F4D"/>
    <w:rsid w:val="00AC3831"/>
    <w:rsid w:val="00AC4752"/>
    <w:rsid w:val="00AE08F8"/>
    <w:rsid w:val="00B74F2E"/>
    <w:rsid w:val="00C235E4"/>
    <w:rsid w:val="00C306D6"/>
    <w:rsid w:val="00C46946"/>
    <w:rsid w:val="00C61F61"/>
    <w:rsid w:val="00C717F6"/>
    <w:rsid w:val="00C84727"/>
    <w:rsid w:val="00CD56D7"/>
    <w:rsid w:val="00D24A8B"/>
    <w:rsid w:val="00DB50BA"/>
    <w:rsid w:val="00DD3E50"/>
    <w:rsid w:val="00E11696"/>
    <w:rsid w:val="00E268B7"/>
    <w:rsid w:val="00E76406"/>
    <w:rsid w:val="00EE29D1"/>
    <w:rsid w:val="00F06439"/>
    <w:rsid w:val="00F474AC"/>
    <w:rsid w:val="00FB6D18"/>
    <w:rsid w:val="00FC45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02742-9D49-480D-AEC9-C8BF63B1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59F9"/>
    <w:pPr>
      <w:ind w:left="720"/>
      <w:contextualSpacing/>
    </w:pPr>
  </w:style>
  <w:style w:type="paragraph" w:styleId="En-tte">
    <w:name w:val="header"/>
    <w:basedOn w:val="Normal"/>
    <w:link w:val="En-tteCar"/>
    <w:uiPriority w:val="99"/>
    <w:unhideWhenUsed/>
    <w:rsid w:val="00995CAC"/>
    <w:pPr>
      <w:tabs>
        <w:tab w:val="center" w:pos="4536"/>
        <w:tab w:val="right" w:pos="9072"/>
      </w:tabs>
      <w:spacing w:after="0" w:line="240" w:lineRule="auto"/>
    </w:pPr>
  </w:style>
  <w:style w:type="character" w:customStyle="1" w:styleId="En-tteCar">
    <w:name w:val="En-tête Car"/>
    <w:basedOn w:val="Policepardfaut"/>
    <w:link w:val="En-tte"/>
    <w:uiPriority w:val="99"/>
    <w:rsid w:val="00995CAC"/>
  </w:style>
  <w:style w:type="paragraph" w:styleId="Pieddepage">
    <w:name w:val="footer"/>
    <w:basedOn w:val="Normal"/>
    <w:link w:val="PieddepageCar"/>
    <w:uiPriority w:val="99"/>
    <w:unhideWhenUsed/>
    <w:rsid w:val="00995C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CAC"/>
  </w:style>
  <w:style w:type="paragraph" w:styleId="Textedebulles">
    <w:name w:val="Balloon Text"/>
    <w:basedOn w:val="Normal"/>
    <w:link w:val="TextedebullesCar"/>
    <w:uiPriority w:val="99"/>
    <w:semiHidden/>
    <w:unhideWhenUsed/>
    <w:rsid w:val="00C235E4"/>
    <w:pPr>
      <w:spacing w:after="0" w:line="240" w:lineRule="auto"/>
    </w:pPr>
    <w:rPr>
      <w:rFonts w:ascii="Segoe UI" w:hAnsi="Segoe UI"/>
      <w:sz w:val="18"/>
      <w:szCs w:val="18"/>
    </w:rPr>
  </w:style>
  <w:style w:type="character" w:customStyle="1" w:styleId="TextedebullesCar">
    <w:name w:val="Texte de bulles Car"/>
    <w:basedOn w:val="Policepardfaut"/>
    <w:link w:val="Textedebulles"/>
    <w:uiPriority w:val="99"/>
    <w:semiHidden/>
    <w:rsid w:val="00C235E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9692-077A-4E47-8CA1-FF943A96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4936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Herman</dc:creator>
  <cp:keywords/>
  <dc:description/>
  <cp:lastModifiedBy>Paul-Eric Mosseray</cp:lastModifiedBy>
  <cp:revision>2</cp:revision>
  <cp:lastPrinted>2016-03-10T12:12:00Z</cp:lastPrinted>
  <dcterms:created xsi:type="dcterms:W3CDTF">2016-10-25T16:58:00Z</dcterms:created>
  <dcterms:modified xsi:type="dcterms:W3CDTF">2016-10-25T16:58:00Z</dcterms:modified>
</cp:coreProperties>
</file>