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AA" w:rsidRDefault="00053F54" w:rsidP="00500522">
      <w:pPr>
        <w:jc w:val="center"/>
        <w:rPr>
          <w:rFonts w:ascii="Segoe UI" w:eastAsia="Calibri" w:hAnsi="Segoe UI" w:cs="Segoe UI"/>
          <w:b/>
        </w:rPr>
      </w:pPr>
      <w:bookmarkStart w:id="0" w:name="_GoBack"/>
      <w:bookmarkEnd w:id="0"/>
      <w:r w:rsidRPr="005301F6">
        <w:rPr>
          <w:rFonts w:ascii="Segoe UI" w:eastAsia="Calibri" w:hAnsi="Segoe UI" w:cs="Segoe UI"/>
          <w:b/>
        </w:rPr>
        <w:t>ECLAIRAGE</w:t>
      </w:r>
      <w:r w:rsidR="00DA7310" w:rsidRPr="005301F6">
        <w:rPr>
          <w:rFonts w:ascii="Segoe UI" w:eastAsia="Calibri" w:hAnsi="Segoe UI" w:cs="Segoe UI"/>
          <w:b/>
        </w:rPr>
        <w:t xml:space="preserve"> </w:t>
      </w:r>
      <w:r w:rsidR="00466FAA">
        <w:rPr>
          <w:rFonts w:ascii="Segoe UI" w:eastAsia="Calibri" w:hAnsi="Segoe UI" w:cs="Segoe UI"/>
          <w:b/>
        </w:rPr>
        <w:t>PANEL 4</w:t>
      </w:r>
      <w:r w:rsidR="00DA7310" w:rsidRPr="005301F6">
        <w:rPr>
          <w:rFonts w:ascii="Segoe UI" w:eastAsia="Calibri" w:hAnsi="Segoe UI" w:cs="Segoe UI"/>
          <w:b/>
        </w:rPr>
        <w:t> :</w:t>
      </w:r>
      <w:r w:rsidR="00AB4DD3" w:rsidRPr="005301F6">
        <w:rPr>
          <w:rFonts w:ascii="Segoe UI" w:eastAsia="Calibri" w:hAnsi="Segoe UI" w:cs="Segoe UI"/>
          <w:b/>
        </w:rPr>
        <w:t xml:space="preserve"> </w:t>
      </w:r>
    </w:p>
    <w:p w:rsidR="00A774DB" w:rsidRDefault="00B4556D" w:rsidP="00500522">
      <w:pPr>
        <w:jc w:val="center"/>
        <w:rPr>
          <w:rFonts w:ascii="Segoe UI" w:eastAsia="Calibri" w:hAnsi="Segoe UI" w:cs="Segoe UI"/>
          <w:b/>
        </w:rPr>
      </w:pPr>
      <w:r>
        <w:rPr>
          <w:rFonts w:ascii="Segoe UI" w:eastAsia="Calibri" w:hAnsi="Segoe UI" w:cs="Segoe UI"/>
          <w:b/>
        </w:rPr>
        <w:t xml:space="preserve">LA </w:t>
      </w:r>
      <w:r w:rsidR="007B35F8" w:rsidRPr="005301F6">
        <w:rPr>
          <w:rFonts w:ascii="Segoe UI" w:eastAsia="Calibri" w:hAnsi="Segoe UI" w:cs="Segoe UI"/>
          <w:b/>
        </w:rPr>
        <w:t>COMPETENCE TERRITO</w:t>
      </w:r>
      <w:r w:rsidR="00CE61A2" w:rsidRPr="005301F6">
        <w:rPr>
          <w:rFonts w:ascii="Segoe UI" w:eastAsia="Calibri" w:hAnsi="Segoe UI" w:cs="Segoe UI"/>
          <w:b/>
        </w:rPr>
        <w:t>R</w:t>
      </w:r>
      <w:r w:rsidR="007B35F8" w:rsidRPr="005301F6">
        <w:rPr>
          <w:rFonts w:ascii="Segoe UI" w:eastAsia="Calibri" w:hAnsi="Segoe UI" w:cs="Segoe UI"/>
          <w:b/>
        </w:rPr>
        <w:t>IALE</w:t>
      </w:r>
    </w:p>
    <w:p w:rsidR="00466FAA" w:rsidRPr="005301F6" w:rsidRDefault="00466FAA" w:rsidP="00500522">
      <w:pPr>
        <w:jc w:val="center"/>
        <w:rPr>
          <w:rFonts w:ascii="Segoe UI" w:eastAsia="Calibri" w:hAnsi="Segoe UI" w:cs="Segoe UI"/>
          <w:b/>
        </w:rPr>
      </w:pPr>
    </w:p>
    <w:p w:rsidR="005D61F7" w:rsidRDefault="00B4556D" w:rsidP="0004132C">
      <w:pPr>
        <w:jc w:val="both"/>
        <w:rPr>
          <w:rFonts w:ascii="Segoe UI" w:eastAsia="Calibri" w:hAnsi="Segoe UI" w:cs="Segoe UI"/>
          <w:b/>
          <w:sz w:val="20"/>
          <w:szCs w:val="20"/>
        </w:rPr>
      </w:pPr>
      <w:r>
        <w:rPr>
          <w:rFonts w:ascii="Segoe UI" w:eastAsia="Calibri" w:hAnsi="Segoe UI" w:cs="Segoe UI"/>
          <w:b/>
          <w:sz w:val="20"/>
          <w:szCs w:val="20"/>
        </w:rPr>
        <w:t>OBECTIFS ET PRINCIPES</w:t>
      </w:r>
    </w:p>
    <w:p w:rsidR="00561300" w:rsidRDefault="00561300" w:rsidP="0004132C">
      <w:pPr>
        <w:jc w:val="both"/>
        <w:rPr>
          <w:rFonts w:ascii="Segoe UI" w:eastAsia="Calibri" w:hAnsi="Segoe UI" w:cs="Segoe UI"/>
          <w:b/>
          <w:sz w:val="20"/>
          <w:szCs w:val="20"/>
        </w:rPr>
      </w:pPr>
    </w:p>
    <w:p w:rsidR="00561300" w:rsidRDefault="00561300" w:rsidP="0004132C">
      <w:pPr>
        <w:jc w:val="both"/>
        <w:rPr>
          <w:rFonts w:ascii="Segoe UI" w:eastAsia="Calibri" w:hAnsi="Segoe UI" w:cs="Segoe UI"/>
          <w:b/>
          <w:sz w:val="20"/>
          <w:szCs w:val="20"/>
        </w:rPr>
      </w:pPr>
      <w:r>
        <w:rPr>
          <w:rFonts w:ascii="Segoe UI" w:eastAsia="Calibri" w:hAnsi="Segoe UI" w:cs="Segoe UI"/>
          <w:b/>
          <w:noProof/>
          <w:sz w:val="20"/>
          <w:szCs w:val="20"/>
          <w:lang w:eastAsia="fr-BE"/>
        </w:rPr>
        <w:drawing>
          <wp:inline distT="0" distB="0" distL="0" distR="0" wp14:anchorId="4CDC58D3">
            <wp:extent cx="6096635" cy="342963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1300" w:rsidRPr="00561300" w:rsidRDefault="00561300" w:rsidP="0004132C">
      <w:pPr>
        <w:jc w:val="both"/>
        <w:rPr>
          <w:rFonts w:ascii="Segoe UI" w:eastAsia="Calibri" w:hAnsi="Segoe UI" w:cs="Segoe UI"/>
          <w:b/>
          <w:sz w:val="20"/>
          <w:szCs w:val="20"/>
        </w:rPr>
      </w:pPr>
    </w:p>
    <w:p w:rsidR="006D341D" w:rsidRPr="00561300" w:rsidRDefault="006D341D" w:rsidP="006D341D">
      <w:pPr>
        <w:jc w:val="both"/>
        <w:rPr>
          <w:rFonts w:ascii="Segoe UI" w:eastAsia="Calibri" w:hAnsi="Segoe UI" w:cs="Segoe UI"/>
          <w:sz w:val="20"/>
          <w:szCs w:val="20"/>
        </w:rPr>
      </w:pPr>
      <w:r w:rsidRPr="00561300">
        <w:rPr>
          <w:rFonts w:ascii="Segoe UI" w:eastAsia="Calibri" w:hAnsi="Segoe UI" w:cs="Segoe UI"/>
          <w:sz w:val="20"/>
          <w:szCs w:val="20"/>
        </w:rPr>
        <w:t xml:space="preserve">L’objectif des </w:t>
      </w:r>
      <w:r w:rsidR="00DA2CAB" w:rsidRPr="00561300">
        <w:rPr>
          <w:rFonts w:ascii="Segoe UI" w:eastAsia="Calibri" w:hAnsi="Segoe UI" w:cs="Segoe UI"/>
          <w:sz w:val="20"/>
          <w:szCs w:val="20"/>
        </w:rPr>
        <w:t>dispositions en matiè</w:t>
      </w:r>
      <w:r w:rsidRPr="00561300">
        <w:rPr>
          <w:rFonts w:ascii="Segoe UI" w:eastAsia="Calibri" w:hAnsi="Segoe UI" w:cs="Segoe UI"/>
          <w:sz w:val="20"/>
          <w:szCs w:val="20"/>
        </w:rPr>
        <w:t>re de juridiction territoriale consiste  - dit simplement -   à établir une forme de ré</w:t>
      </w:r>
      <w:r w:rsidR="00847B90" w:rsidRPr="00561300">
        <w:rPr>
          <w:rFonts w:ascii="Segoe UI" w:eastAsia="Calibri" w:hAnsi="Segoe UI" w:cs="Segoe UI"/>
          <w:sz w:val="20"/>
          <w:szCs w:val="20"/>
        </w:rPr>
        <w:t>partition territoriale de la régulation</w:t>
      </w:r>
      <w:r w:rsidRPr="00561300">
        <w:rPr>
          <w:rFonts w:ascii="Segoe UI" w:eastAsia="Calibri" w:hAnsi="Segoe UI" w:cs="Segoe UI"/>
          <w:sz w:val="20"/>
          <w:szCs w:val="20"/>
        </w:rPr>
        <w:t xml:space="preserve"> </w:t>
      </w:r>
      <w:r w:rsidR="00847B90" w:rsidRPr="00561300">
        <w:rPr>
          <w:rFonts w:ascii="Segoe UI" w:eastAsia="Calibri" w:hAnsi="Segoe UI" w:cs="Segoe UI"/>
          <w:sz w:val="20"/>
          <w:szCs w:val="20"/>
        </w:rPr>
        <w:t xml:space="preserve">des services audiovisuels </w:t>
      </w:r>
      <w:r w:rsidRPr="00561300">
        <w:rPr>
          <w:rFonts w:ascii="Segoe UI" w:eastAsia="Calibri" w:hAnsi="Segoe UI" w:cs="Segoe UI"/>
          <w:sz w:val="20"/>
          <w:szCs w:val="20"/>
        </w:rPr>
        <w:t>entre</w:t>
      </w:r>
      <w:r w:rsidR="00847B90" w:rsidRPr="00561300">
        <w:rPr>
          <w:rFonts w:ascii="Segoe UI" w:eastAsia="Calibri" w:hAnsi="Segoe UI" w:cs="Segoe UI"/>
          <w:sz w:val="20"/>
          <w:szCs w:val="20"/>
        </w:rPr>
        <w:t xml:space="preserve"> </w:t>
      </w:r>
      <w:r w:rsidR="005301F6" w:rsidRPr="00561300">
        <w:rPr>
          <w:rFonts w:ascii="Segoe UI" w:eastAsia="Calibri" w:hAnsi="Segoe UI" w:cs="Segoe UI"/>
          <w:sz w:val="20"/>
          <w:szCs w:val="20"/>
        </w:rPr>
        <w:t xml:space="preserve">les </w:t>
      </w:r>
      <w:r w:rsidRPr="00561300">
        <w:rPr>
          <w:rFonts w:ascii="Segoe UI" w:eastAsia="Calibri" w:hAnsi="Segoe UI" w:cs="Segoe UI"/>
          <w:sz w:val="20"/>
          <w:szCs w:val="20"/>
        </w:rPr>
        <w:t>Etat membres</w:t>
      </w:r>
      <w:r w:rsidR="005301F6" w:rsidRPr="00561300">
        <w:rPr>
          <w:rFonts w:ascii="Segoe UI" w:eastAsia="Calibri" w:hAnsi="Segoe UI" w:cs="Segoe UI"/>
          <w:sz w:val="20"/>
          <w:szCs w:val="20"/>
        </w:rPr>
        <w:t xml:space="preserve"> de l’Union</w:t>
      </w:r>
      <w:r w:rsidRPr="00561300">
        <w:rPr>
          <w:rFonts w:ascii="Segoe UI" w:eastAsia="Calibri" w:hAnsi="Segoe UI" w:cs="Segoe UI"/>
          <w:sz w:val="20"/>
          <w:szCs w:val="20"/>
        </w:rPr>
        <w:t xml:space="preserve">. </w:t>
      </w:r>
    </w:p>
    <w:p w:rsidR="009A186F" w:rsidRPr="00561300" w:rsidRDefault="006D341D" w:rsidP="006D341D">
      <w:pPr>
        <w:jc w:val="both"/>
        <w:rPr>
          <w:rFonts w:ascii="Segoe UI" w:eastAsiaTheme="minorEastAsia" w:hAnsi="Segoe UI" w:cs="Segoe UI"/>
          <w:sz w:val="20"/>
          <w:szCs w:val="20"/>
          <w:lang w:eastAsia="fr-BE"/>
        </w:rPr>
      </w:pPr>
      <w:r w:rsidRPr="00561300">
        <w:rPr>
          <w:rFonts w:ascii="Segoe UI" w:eastAsiaTheme="minorEastAsia" w:hAnsi="Segoe UI" w:cs="Segoe UI"/>
          <w:sz w:val="20"/>
          <w:szCs w:val="20"/>
          <w:lang w:eastAsia="fr-BE"/>
        </w:rPr>
        <w:t>La directive SMA</w:t>
      </w:r>
      <w:r w:rsidR="00930997"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 est venue</w:t>
      </w:r>
      <w:r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  </w:t>
      </w:r>
      <w:r w:rsidR="00847B90" w:rsidRPr="00561300">
        <w:rPr>
          <w:rFonts w:ascii="Segoe UI" w:eastAsiaTheme="minorEastAsia" w:hAnsi="Segoe UI" w:cs="Segoe UI"/>
          <w:sz w:val="20"/>
          <w:szCs w:val="20"/>
          <w:lang w:eastAsia="fr-BE"/>
        </w:rPr>
        <w:t>confirme</w:t>
      </w:r>
      <w:r w:rsidR="00930997" w:rsidRPr="00561300">
        <w:rPr>
          <w:rFonts w:ascii="Segoe UI" w:eastAsiaTheme="minorEastAsia" w:hAnsi="Segoe UI" w:cs="Segoe UI"/>
          <w:sz w:val="20"/>
          <w:szCs w:val="20"/>
          <w:lang w:eastAsia="fr-BE"/>
        </w:rPr>
        <w:t>r</w:t>
      </w:r>
      <w:r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 le principe du «</w:t>
      </w:r>
      <w:r w:rsidR="00930997"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 pays d’origine » : </w:t>
      </w:r>
      <w:r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le </w:t>
      </w:r>
      <w:r w:rsidR="00930997" w:rsidRPr="00561300">
        <w:rPr>
          <w:rFonts w:ascii="Segoe UI" w:eastAsiaTheme="minorEastAsia" w:hAnsi="Segoe UI" w:cs="Segoe UI"/>
          <w:sz w:val="20"/>
          <w:szCs w:val="20"/>
          <w:lang w:eastAsia="fr-BE"/>
        </w:rPr>
        <w:t>principe selon lequel un fournisseur</w:t>
      </w:r>
      <w:r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 établi dans un pays de l’UE est soumis à la seule législation de ce pays d’origine pour toute activité déployée dans le marché unique européen.</w:t>
      </w:r>
    </w:p>
    <w:p w:rsidR="009A186F" w:rsidRPr="00561300" w:rsidRDefault="00847B90" w:rsidP="006D341D">
      <w:pPr>
        <w:jc w:val="both"/>
        <w:rPr>
          <w:rFonts w:ascii="Segoe UI" w:eastAsiaTheme="minorEastAsia" w:hAnsi="Segoe UI" w:cs="Segoe UI"/>
          <w:sz w:val="20"/>
          <w:szCs w:val="20"/>
          <w:lang w:eastAsia="fr-BE"/>
        </w:rPr>
      </w:pPr>
      <w:r w:rsidRPr="00561300">
        <w:rPr>
          <w:rFonts w:ascii="Segoe UI" w:eastAsiaTheme="minorEastAsia" w:hAnsi="Segoe UI" w:cs="Segoe UI"/>
          <w:sz w:val="20"/>
          <w:szCs w:val="20"/>
          <w:lang w:eastAsia="fr-BE"/>
        </w:rPr>
        <w:t>Plus précisément, l</w:t>
      </w:r>
      <w:r w:rsidR="009A186F"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a détermination du pays d’origine d’un SMA </w:t>
      </w:r>
      <w:r w:rsidR="00150EF0"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nécessite </w:t>
      </w:r>
      <w:r w:rsidR="009A186F"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 de répondre à deux questions successives</w:t>
      </w:r>
      <w:r w:rsidR="00454ADF">
        <w:rPr>
          <w:rFonts w:ascii="Segoe UI" w:eastAsiaTheme="minorEastAsia" w:hAnsi="Segoe UI" w:cs="Segoe UI"/>
          <w:sz w:val="20"/>
          <w:szCs w:val="20"/>
          <w:lang w:eastAsia="fr-BE"/>
        </w:rPr>
        <w:t> :</w:t>
      </w:r>
    </w:p>
    <w:p w:rsidR="006D341D" w:rsidRPr="00561300" w:rsidRDefault="00847B90" w:rsidP="009A186F">
      <w:pPr>
        <w:pStyle w:val="Paragraphedeliste"/>
        <w:numPr>
          <w:ilvl w:val="0"/>
          <w:numId w:val="22"/>
        </w:numPr>
        <w:jc w:val="both"/>
        <w:rPr>
          <w:rFonts w:ascii="Segoe UI" w:eastAsiaTheme="minorEastAsia" w:hAnsi="Segoe UI" w:cs="Segoe UI"/>
          <w:sz w:val="20"/>
          <w:szCs w:val="20"/>
          <w:lang w:eastAsia="fr-BE"/>
        </w:rPr>
      </w:pPr>
      <w:r w:rsidRPr="00561300">
        <w:rPr>
          <w:rFonts w:ascii="Segoe UI" w:eastAsiaTheme="minorEastAsia" w:hAnsi="Segoe UI" w:cs="Segoe UI"/>
          <w:b/>
          <w:sz w:val="20"/>
          <w:szCs w:val="20"/>
          <w:lang w:eastAsia="fr-BE"/>
        </w:rPr>
        <w:t>D’abord, q</w:t>
      </w:r>
      <w:r w:rsidR="009A186F" w:rsidRPr="00561300">
        <w:rPr>
          <w:rFonts w:ascii="Segoe UI" w:eastAsiaTheme="minorEastAsia" w:hAnsi="Segoe UI" w:cs="Segoe UI"/>
          <w:b/>
          <w:sz w:val="20"/>
          <w:szCs w:val="20"/>
          <w:lang w:eastAsia="fr-BE"/>
        </w:rPr>
        <w:t>ui est le fournisseur du service ?</w:t>
      </w:r>
      <w:r w:rsidR="009A186F"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 </w:t>
      </w:r>
      <w:r w:rsidRPr="00561300">
        <w:rPr>
          <w:rFonts w:ascii="Segoe UI" w:eastAsiaTheme="minorEastAsia" w:hAnsi="Segoe UI" w:cs="Segoe UI"/>
          <w:sz w:val="20"/>
          <w:szCs w:val="20"/>
          <w:lang w:eastAsia="fr-BE"/>
        </w:rPr>
        <w:t>Q</w:t>
      </w:r>
      <w:r w:rsidR="00150EF0" w:rsidRPr="00561300">
        <w:rPr>
          <w:rFonts w:ascii="Segoe UI" w:eastAsiaTheme="minorEastAsia" w:hAnsi="Segoe UI" w:cs="Segoe UI"/>
          <w:sz w:val="20"/>
          <w:szCs w:val="20"/>
          <w:lang w:eastAsia="fr-BE"/>
        </w:rPr>
        <w:t>uelle</w:t>
      </w:r>
      <w:r w:rsidR="009A186F"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 est  l’entité qui assure la responsabilité éditoriale, </w:t>
      </w:r>
      <w:r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c’est-à-dire </w:t>
      </w:r>
      <w:r w:rsidR="00930997" w:rsidRPr="00561300">
        <w:rPr>
          <w:rFonts w:ascii="Segoe UI" w:eastAsiaTheme="minorEastAsia" w:hAnsi="Segoe UI" w:cs="Segoe UI"/>
          <w:sz w:val="20"/>
          <w:szCs w:val="20"/>
          <w:lang w:eastAsia="fr-BE"/>
        </w:rPr>
        <w:t>(1)</w:t>
      </w:r>
      <w:r w:rsidR="009A186F"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 le </w:t>
      </w:r>
      <w:r w:rsidR="009A186F" w:rsidRPr="00454ADF">
        <w:rPr>
          <w:rFonts w:ascii="Segoe UI" w:eastAsiaTheme="minorEastAsia" w:hAnsi="Segoe UI" w:cs="Segoe UI"/>
          <w:sz w:val="20"/>
          <w:szCs w:val="20"/>
          <w:lang w:eastAsia="fr-BE"/>
        </w:rPr>
        <w:t>contrôle effectif</w:t>
      </w:r>
      <w:r w:rsidR="009A186F"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 sur </w:t>
      </w:r>
      <w:r w:rsidR="00930997"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(2) </w:t>
      </w:r>
      <w:r w:rsidR="009A186F"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la sélection et </w:t>
      </w:r>
      <w:r w:rsidR="00930997" w:rsidRPr="00561300">
        <w:rPr>
          <w:rFonts w:ascii="Segoe UI" w:eastAsiaTheme="minorEastAsia" w:hAnsi="Segoe UI" w:cs="Segoe UI"/>
          <w:sz w:val="20"/>
          <w:szCs w:val="20"/>
          <w:lang w:eastAsia="fr-BE"/>
        </w:rPr>
        <w:t>(3)</w:t>
      </w:r>
      <w:r w:rsidR="00466FAA"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 </w:t>
      </w:r>
      <w:r w:rsidR="009A186F" w:rsidRPr="00561300">
        <w:rPr>
          <w:rFonts w:ascii="Segoe UI" w:eastAsiaTheme="minorEastAsia" w:hAnsi="Segoe UI" w:cs="Segoe UI"/>
          <w:sz w:val="20"/>
          <w:szCs w:val="20"/>
          <w:lang w:eastAsia="fr-BE"/>
        </w:rPr>
        <w:t>l’organisation de</w:t>
      </w:r>
      <w:r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s programmes du </w:t>
      </w:r>
      <w:r w:rsidR="00A27CF7" w:rsidRPr="00561300">
        <w:rPr>
          <w:rFonts w:ascii="Segoe UI" w:eastAsiaTheme="minorEastAsia" w:hAnsi="Segoe UI" w:cs="Segoe UI"/>
          <w:sz w:val="20"/>
          <w:szCs w:val="20"/>
          <w:lang w:eastAsia="fr-BE"/>
        </w:rPr>
        <w:t>service ?</w:t>
      </w:r>
      <w:r w:rsidR="009A186F"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  </w:t>
      </w:r>
      <w:r w:rsidR="006D341D"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  </w:t>
      </w:r>
    </w:p>
    <w:p w:rsidR="006D341D" w:rsidRPr="00561300" w:rsidRDefault="00847B90" w:rsidP="009A186F">
      <w:pPr>
        <w:pStyle w:val="Paragraphedeliste"/>
        <w:numPr>
          <w:ilvl w:val="0"/>
          <w:numId w:val="22"/>
        </w:numPr>
        <w:jc w:val="both"/>
        <w:rPr>
          <w:rFonts w:ascii="Segoe UI" w:eastAsiaTheme="minorEastAsia" w:hAnsi="Segoe UI" w:cs="Segoe UI"/>
          <w:sz w:val="20"/>
          <w:szCs w:val="20"/>
          <w:lang w:eastAsia="fr-BE"/>
        </w:rPr>
      </w:pPr>
      <w:r w:rsidRPr="00561300">
        <w:rPr>
          <w:rFonts w:ascii="Segoe UI" w:eastAsiaTheme="minorEastAsia" w:hAnsi="Segoe UI" w:cs="Segoe UI"/>
          <w:b/>
          <w:sz w:val="20"/>
          <w:szCs w:val="20"/>
          <w:lang w:eastAsia="fr-BE"/>
        </w:rPr>
        <w:t>Ensuite, o</w:t>
      </w:r>
      <w:r w:rsidR="009A186F" w:rsidRPr="00561300">
        <w:rPr>
          <w:rFonts w:ascii="Segoe UI" w:eastAsiaTheme="minorEastAsia" w:hAnsi="Segoe UI" w:cs="Segoe UI"/>
          <w:b/>
          <w:sz w:val="20"/>
          <w:szCs w:val="20"/>
          <w:lang w:eastAsia="fr-BE"/>
        </w:rPr>
        <w:t>ù</w:t>
      </w:r>
      <w:r w:rsidR="00150EF0" w:rsidRPr="00561300">
        <w:rPr>
          <w:rFonts w:ascii="Segoe UI" w:eastAsiaTheme="minorEastAsia" w:hAnsi="Segoe UI" w:cs="Segoe UI"/>
          <w:b/>
          <w:sz w:val="20"/>
          <w:szCs w:val="20"/>
          <w:lang w:eastAsia="fr-BE"/>
        </w:rPr>
        <w:t xml:space="preserve"> est établi</w:t>
      </w:r>
      <w:r w:rsidRPr="00561300">
        <w:rPr>
          <w:rFonts w:ascii="Segoe UI" w:eastAsiaTheme="minorEastAsia" w:hAnsi="Segoe UI" w:cs="Segoe UI"/>
          <w:b/>
          <w:sz w:val="20"/>
          <w:szCs w:val="20"/>
          <w:lang w:eastAsia="fr-BE"/>
        </w:rPr>
        <w:t xml:space="preserve">e cette entité </w:t>
      </w:r>
      <w:r w:rsidR="009A186F" w:rsidRPr="00561300">
        <w:rPr>
          <w:rFonts w:ascii="Segoe UI" w:eastAsiaTheme="minorEastAsia" w:hAnsi="Segoe UI" w:cs="Segoe UI"/>
          <w:b/>
          <w:sz w:val="20"/>
          <w:szCs w:val="20"/>
          <w:lang w:eastAsia="fr-BE"/>
        </w:rPr>
        <w:t xml:space="preserve">? </w:t>
      </w:r>
      <w:r w:rsidR="0057536A" w:rsidRPr="00561300">
        <w:rPr>
          <w:rFonts w:ascii="Segoe UI" w:eastAsiaTheme="minorEastAsia" w:hAnsi="Segoe UI" w:cs="Segoe UI"/>
          <w:sz w:val="20"/>
          <w:szCs w:val="20"/>
          <w:lang w:eastAsia="fr-BE"/>
        </w:rPr>
        <w:t>Quel lieu</w:t>
      </w:r>
      <w:r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 réunit aux moins deux des trois critères </w:t>
      </w:r>
      <w:r w:rsidR="006D341D"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de </w:t>
      </w:r>
      <w:r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localisation de cette entité : lieu du </w:t>
      </w:r>
      <w:r w:rsidR="006D341D" w:rsidRPr="00561300">
        <w:rPr>
          <w:rFonts w:ascii="Segoe UI" w:eastAsiaTheme="minorEastAsia" w:hAnsi="Segoe UI" w:cs="Segoe UI"/>
          <w:sz w:val="20"/>
          <w:szCs w:val="20"/>
          <w:lang w:eastAsia="fr-BE"/>
        </w:rPr>
        <w:t>siège social, lieu où sont pris</w:t>
      </w:r>
      <w:r w:rsidRPr="00561300">
        <w:rPr>
          <w:rFonts w:ascii="Segoe UI" w:eastAsiaTheme="minorEastAsia" w:hAnsi="Segoe UI" w:cs="Segoe UI"/>
          <w:sz w:val="20"/>
          <w:szCs w:val="20"/>
          <w:lang w:eastAsia="fr-BE"/>
        </w:rPr>
        <w:t>es</w:t>
      </w:r>
      <w:r w:rsidR="00454ADF">
        <w:rPr>
          <w:rFonts w:ascii="Segoe UI" w:eastAsiaTheme="minorEastAsia" w:hAnsi="Segoe UI" w:cs="Segoe UI"/>
          <w:sz w:val="20"/>
          <w:szCs w:val="20"/>
          <w:lang w:eastAsia="fr-BE"/>
        </w:rPr>
        <w:t xml:space="preserve"> les décisions éditoriales ou </w:t>
      </w:r>
      <w:r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 </w:t>
      </w:r>
      <w:r w:rsidR="006D341D"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lieu où opère une partie importante de l’effectif employé. </w:t>
      </w:r>
    </w:p>
    <w:p w:rsidR="00466FAA" w:rsidRPr="00561300" w:rsidRDefault="00466FAA" w:rsidP="009A186F">
      <w:pPr>
        <w:pStyle w:val="Paragraphedeliste"/>
        <w:numPr>
          <w:ilvl w:val="0"/>
          <w:numId w:val="22"/>
        </w:numPr>
        <w:jc w:val="both"/>
        <w:rPr>
          <w:rFonts w:ascii="Segoe UI" w:eastAsiaTheme="minorEastAsia" w:hAnsi="Segoe UI" w:cs="Segoe UI"/>
          <w:sz w:val="20"/>
          <w:szCs w:val="20"/>
          <w:lang w:eastAsia="fr-BE"/>
        </w:rPr>
      </w:pPr>
      <w:r w:rsidRPr="00561300">
        <w:rPr>
          <w:rFonts w:ascii="Segoe UI" w:eastAsiaTheme="minorEastAsia" w:hAnsi="Segoe UI" w:cs="Segoe UI"/>
          <w:b/>
          <w:sz w:val="20"/>
          <w:szCs w:val="20"/>
          <w:lang w:eastAsia="fr-BE"/>
        </w:rPr>
        <w:lastRenderedPageBreak/>
        <w:t>Et, cas particulier :</w:t>
      </w:r>
      <w:r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 si le fournisseur ne répond pas aux critères précités mais qu’il utilise une liaison montante ou une capacité satellitaire dans un Etat Membre, il y sera rattaché. En conséquence, aujourd’hui ce critère technique rattache par exemple une chaine de télévision US par satellite à la compétence européenne et donc au bénéfice de la liberté de réception en Europe, ce qui n’est pas le cas pour les services en ligne. </w:t>
      </w:r>
    </w:p>
    <w:p w:rsidR="00C431E1" w:rsidRPr="00561300" w:rsidRDefault="00C431E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Theme="minorEastAsia" w:hAnsi="Segoe UI" w:cs="Segoe UI"/>
          <w:sz w:val="20"/>
          <w:szCs w:val="20"/>
          <w:lang w:eastAsia="fr-BE"/>
        </w:rPr>
      </w:pPr>
    </w:p>
    <w:p w:rsidR="00C431E1" w:rsidRPr="00561300" w:rsidRDefault="00C431E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Theme="minorEastAsia" w:hAnsi="Segoe UI" w:cs="Segoe UI"/>
          <w:b/>
          <w:i/>
          <w:sz w:val="20"/>
          <w:szCs w:val="20"/>
          <w:lang w:eastAsia="fr-BE"/>
        </w:rPr>
      </w:pPr>
      <w:r w:rsidRPr="00561300">
        <w:rPr>
          <w:rFonts w:ascii="Segoe UI" w:eastAsiaTheme="minorEastAsia" w:hAnsi="Segoe UI" w:cs="Segoe UI"/>
          <w:b/>
          <w:i/>
          <w:sz w:val="20"/>
          <w:szCs w:val="20"/>
          <w:lang w:eastAsia="fr-BE"/>
        </w:rPr>
        <w:t>Même s’il est souvent qualifié</w:t>
      </w:r>
      <w:r w:rsidR="00847B90" w:rsidRPr="00561300">
        <w:rPr>
          <w:rFonts w:ascii="Segoe UI" w:eastAsiaTheme="minorEastAsia" w:hAnsi="Segoe UI" w:cs="Segoe UI"/>
          <w:b/>
          <w:i/>
          <w:sz w:val="20"/>
          <w:szCs w:val="20"/>
          <w:lang w:eastAsia="fr-BE"/>
        </w:rPr>
        <w:t xml:space="preserve"> de « pierre angulaire»  du dispositif européen</w:t>
      </w:r>
      <w:r w:rsidRPr="00561300">
        <w:rPr>
          <w:rFonts w:ascii="Segoe UI" w:eastAsiaTheme="minorEastAsia" w:hAnsi="Segoe UI" w:cs="Segoe UI"/>
          <w:b/>
          <w:i/>
          <w:sz w:val="20"/>
          <w:szCs w:val="20"/>
          <w:lang w:eastAsia="fr-BE"/>
        </w:rPr>
        <w:t xml:space="preserve">, </w:t>
      </w:r>
      <w:r w:rsidR="00150EF0" w:rsidRPr="00561300">
        <w:rPr>
          <w:rFonts w:ascii="Segoe UI" w:eastAsiaTheme="minorEastAsia" w:hAnsi="Segoe UI" w:cs="Segoe UI"/>
          <w:b/>
          <w:i/>
          <w:sz w:val="20"/>
          <w:szCs w:val="20"/>
          <w:lang w:eastAsia="fr-BE"/>
        </w:rPr>
        <w:t xml:space="preserve">ce principe (du pays d’origine) n’est </w:t>
      </w:r>
      <w:r w:rsidRPr="00561300">
        <w:rPr>
          <w:rFonts w:ascii="Segoe UI" w:eastAsiaTheme="minorEastAsia" w:hAnsi="Segoe UI" w:cs="Segoe UI"/>
          <w:b/>
          <w:i/>
          <w:sz w:val="20"/>
          <w:szCs w:val="20"/>
          <w:lang w:eastAsia="fr-BE"/>
        </w:rPr>
        <w:t xml:space="preserve">pas </w:t>
      </w:r>
      <w:r w:rsidR="00466FAA" w:rsidRPr="00561300">
        <w:rPr>
          <w:rFonts w:ascii="Segoe UI" w:eastAsiaTheme="minorEastAsia" w:hAnsi="Segoe UI" w:cs="Segoe UI"/>
          <w:b/>
          <w:i/>
          <w:sz w:val="20"/>
          <w:szCs w:val="20"/>
          <w:lang w:eastAsia="fr-BE"/>
        </w:rPr>
        <w:t>tout à fait seul.</w:t>
      </w:r>
    </w:p>
    <w:p w:rsidR="004F3ABF" w:rsidRPr="00561300" w:rsidRDefault="004F3ABF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Theme="minorEastAsia" w:hAnsi="Segoe UI" w:cs="Segoe UI"/>
          <w:sz w:val="20"/>
          <w:szCs w:val="20"/>
          <w:lang w:eastAsia="fr-BE"/>
        </w:rPr>
      </w:pPr>
    </w:p>
    <w:p w:rsidR="004F3ABF" w:rsidRPr="00561300" w:rsidRDefault="0093099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Theme="minorEastAsia" w:hAnsi="Segoe UI" w:cs="Segoe UI"/>
          <w:sz w:val="20"/>
          <w:szCs w:val="20"/>
          <w:lang w:eastAsia="fr-BE"/>
        </w:rPr>
      </w:pPr>
      <w:r w:rsidRPr="00561300">
        <w:rPr>
          <w:rFonts w:ascii="Segoe UI" w:eastAsiaTheme="minorEastAsia" w:hAnsi="Segoe UI" w:cs="Segoe UI"/>
          <w:sz w:val="20"/>
          <w:szCs w:val="20"/>
          <w:lang w:eastAsia="fr-BE"/>
        </w:rPr>
        <w:t>Il</w:t>
      </w:r>
      <w:r w:rsidR="004F3ABF"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 </w:t>
      </w:r>
      <w:r w:rsidR="00847B90" w:rsidRPr="00561300">
        <w:rPr>
          <w:rFonts w:ascii="Segoe UI" w:eastAsiaTheme="minorEastAsia" w:hAnsi="Segoe UI" w:cs="Segoe UI"/>
          <w:sz w:val="20"/>
          <w:szCs w:val="20"/>
          <w:lang w:eastAsia="fr-BE"/>
        </w:rPr>
        <w:t>est combiné avec des</w:t>
      </w:r>
      <w:r w:rsidR="004F3ABF"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 dérogations : </w:t>
      </w:r>
    </w:p>
    <w:p w:rsidR="004F3ABF" w:rsidRPr="00561300" w:rsidRDefault="004F3ABF" w:rsidP="004F3ABF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561300">
        <w:rPr>
          <w:rFonts w:ascii="Segoe UI" w:eastAsiaTheme="minorEastAsia" w:hAnsi="Segoe UI" w:cs="Segoe UI"/>
          <w:sz w:val="20"/>
          <w:szCs w:val="20"/>
          <w:u w:val="single"/>
          <w:lang w:eastAsia="fr-BE"/>
        </w:rPr>
        <w:t>Dérogation</w:t>
      </w:r>
      <w:r w:rsidR="00150EF0" w:rsidRPr="00561300">
        <w:rPr>
          <w:rFonts w:ascii="Segoe UI" w:eastAsiaTheme="minorEastAsia" w:hAnsi="Segoe UI" w:cs="Segoe UI"/>
          <w:sz w:val="20"/>
          <w:szCs w:val="20"/>
          <w:u w:val="single"/>
          <w:lang w:eastAsia="fr-BE"/>
        </w:rPr>
        <w:t>s</w:t>
      </w:r>
      <w:r w:rsidRPr="00561300">
        <w:rPr>
          <w:rFonts w:ascii="Segoe UI" w:eastAsiaTheme="minorEastAsia" w:hAnsi="Segoe UI" w:cs="Segoe UI"/>
          <w:sz w:val="20"/>
          <w:szCs w:val="20"/>
          <w:u w:val="single"/>
          <w:lang w:eastAsia="fr-BE"/>
        </w:rPr>
        <w:t xml:space="preserve"> </w:t>
      </w:r>
      <w:r w:rsidR="00150EF0" w:rsidRPr="00561300">
        <w:rPr>
          <w:rFonts w:ascii="Segoe UI" w:eastAsiaTheme="minorEastAsia" w:hAnsi="Segoe UI" w:cs="Segoe UI"/>
          <w:sz w:val="20"/>
          <w:szCs w:val="20"/>
          <w:u w:val="single"/>
          <w:lang w:eastAsia="fr-BE"/>
        </w:rPr>
        <w:t>à la liberté de réception</w:t>
      </w:r>
      <w:r w:rsidR="00150EF0"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 </w:t>
      </w:r>
      <w:r w:rsidR="005301F6"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de services audiovisuels </w:t>
      </w:r>
      <w:r w:rsidRPr="00561300">
        <w:rPr>
          <w:rFonts w:ascii="Segoe UI" w:eastAsia="Times New Roman" w:hAnsi="Segoe UI" w:cs="Segoe UI"/>
          <w:sz w:val="20"/>
          <w:szCs w:val="20"/>
        </w:rPr>
        <w:t>en cas d’infraction</w:t>
      </w:r>
      <w:r w:rsidR="00150EF0" w:rsidRPr="00561300">
        <w:rPr>
          <w:rFonts w:ascii="Segoe UI" w:eastAsia="Times New Roman" w:hAnsi="Segoe UI" w:cs="Segoe UI"/>
          <w:sz w:val="20"/>
          <w:szCs w:val="20"/>
        </w:rPr>
        <w:t>s répétées</w:t>
      </w:r>
      <w:r w:rsidR="00847B90" w:rsidRPr="00561300">
        <w:rPr>
          <w:rFonts w:ascii="Segoe UI" w:eastAsia="Times New Roman" w:hAnsi="Segoe UI" w:cs="Segoe UI"/>
          <w:sz w:val="20"/>
          <w:szCs w:val="20"/>
        </w:rPr>
        <w:t xml:space="preserve"> dans un pays de réception  aux règles de</w:t>
      </w:r>
      <w:r w:rsidRPr="00561300">
        <w:rPr>
          <w:rFonts w:ascii="Segoe UI" w:eastAsia="Times New Roman" w:hAnsi="Segoe UI" w:cs="Segoe UI"/>
          <w:sz w:val="20"/>
          <w:szCs w:val="20"/>
        </w:rPr>
        <w:t xml:space="preserve"> protection des mineurs ou </w:t>
      </w:r>
      <w:r w:rsidR="00023375" w:rsidRPr="00561300">
        <w:rPr>
          <w:rFonts w:ascii="Segoe UI" w:eastAsia="Times New Roman" w:hAnsi="Segoe UI" w:cs="Segoe UI"/>
          <w:sz w:val="20"/>
          <w:szCs w:val="20"/>
        </w:rPr>
        <w:t xml:space="preserve">d’interdiction </w:t>
      </w:r>
      <w:r w:rsidR="00150EF0" w:rsidRPr="00561300">
        <w:rPr>
          <w:rFonts w:ascii="Segoe UI" w:eastAsia="Times New Roman" w:hAnsi="Segoe UI" w:cs="Segoe UI"/>
          <w:sz w:val="20"/>
          <w:szCs w:val="20"/>
        </w:rPr>
        <w:t>d’incitation à la</w:t>
      </w:r>
      <w:r w:rsidRPr="00561300">
        <w:rPr>
          <w:rFonts w:ascii="Segoe UI" w:eastAsia="Times New Roman" w:hAnsi="Segoe UI" w:cs="Segoe UI"/>
          <w:sz w:val="20"/>
          <w:szCs w:val="20"/>
        </w:rPr>
        <w:t xml:space="preserve"> haine</w:t>
      </w:r>
      <w:r w:rsidR="00150EF0" w:rsidRPr="00561300">
        <w:rPr>
          <w:rFonts w:ascii="Segoe UI" w:eastAsia="Times New Roman" w:hAnsi="Segoe UI" w:cs="Segoe UI"/>
          <w:sz w:val="20"/>
          <w:szCs w:val="20"/>
        </w:rPr>
        <w:t xml:space="preserve"> (+ </w:t>
      </w:r>
      <w:r w:rsidR="00454ADF">
        <w:rPr>
          <w:rFonts w:ascii="Segoe UI" w:eastAsia="Times New Roman" w:hAnsi="Segoe UI" w:cs="Segoe UI"/>
          <w:sz w:val="20"/>
          <w:szCs w:val="20"/>
        </w:rPr>
        <w:t>santé publique, sécurité publique, protection du consommateur</w:t>
      </w:r>
      <w:r w:rsidR="00847B90" w:rsidRPr="00561300">
        <w:rPr>
          <w:rFonts w:ascii="Segoe UI" w:eastAsia="Times New Roman" w:hAnsi="Segoe UI" w:cs="Segoe UI"/>
          <w:sz w:val="20"/>
          <w:szCs w:val="20"/>
        </w:rPr>
        <w:t xml:space="preserve">  pour les services non linéaires</w:t>
      </w:r>
      <w:r w:rsidR="00150EF0" w:rsidRPr="00561300">
        <w:rPr>
          <w:rFonts w:ascii="Segoe UI" w:eastAsia="Times New Roman" w:hAnsi="Segoe UI" w:cs="Segoe UI"/>
          <w:sz w:val="20"/>
          <w:szCs w:val="20"/>
        </w:rPr>
        <w:t xml:space="preserve">) </w:t>
      </w:r>
      <w:r w:rsidRPr="00561300">
        <w:rPr>
          <w:rFonts w:ascii="Segoe UI" w:eastAsia="Times New Roman" w:hAnsi="Segoe UI" w:cs="Segoe UI"/>
          <w:sz w:val="20"/>
          <w:szCs w:val="20"/>
        </w:rPr>
        <w:t> </w:t>
      </w:r>
    </w:p>
    <w:p w:rsidR="004F3ABF" w:rsidRPr="00561300" w:rsidRDefault="004F3ABF" w:rsidP="004F3ABF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561300">
        <w:rPr>
          <w:rFonts w:ascii="Segoe UI" w:eastAsia="Times New Roman" w:hAnsi="Segoe UI" w:cs="Segoe UI"/>
          <w:sz w:val="20"/>
          <w:szCs w:val="20"/>
          <w:u w:val="single"/>
        </w:rPr>
        <w:t>Dérogation</w:t>
      </w:r>
      <w:r w:rsidR="00150EF0" w:rsidRPr="00561300">
        <w:rPr>
          <w:rFonts w:ascii="Segoe UI" w:eastAsia="Times New Roman" w:hAnsi="Segoe UI" w:cs="Segoe UI"/>
          <w:sz w:val="20"/>
          <w:szCs w:val="20"/>
          <w:u w:val="single"/>
        </w:rPr>
        <w:t>s</w:t>
      </w:r>
      <w:r w:rsidRPr="00561300">
        <w:rPr>
          <w:rFonts w:ascii="Segoe UI" w:eastAsia="Times New Roman" w:hAnsi="Segoe UI" w:cs="Segoe UI"/>
          <w:sz w:val="20"/>
          <w:szCs w:val="20"/>
          <w:u w:val="single"/>
        </w:rPr>
        <w:t xml:space="preserve"> au principe du pays d’origine</w:t>
      </w:r>
      <w:r w:rsidR="005301F6" w:rsidRPr="00561300">
        <w:rPr>
          <w:rFonts w:ascii="Segoe UI" w:eastAsia="Times New Roman" w:hAnsi="Segoe UI" w:cs="Segoe UI"/>
          <w:sz w:val="20"/>
          <w:szCs w:val="20"/>
          <w:u w:val="single"/>
        </w:rPr>
        <w:t xml:space="preserve"> qui</w:t>
      </w:r>
      <w:r w:rsidR="005301F6" w:rsidRPr="00561300">
        <w:rPr>
          <w:rFonts w:ascii="Segoe UI" w:eastAsia="Times New Roman" w:hAnsi="Segoe UI" w:cs="Segoe UI"/>
          <w:sz w:val="20"/>
          <w:szCs w:val="20"/>
        </w:rPr>
        <w:t xml:space="preserve"> permette</w:t>
      </w:r>
      <w:r w:rsidRPr="00561300">
        <w:rPr>
          <w:rFonts w:ascii="Segoe UI" w:eastAsia="Times New Roman" w:hAnsi="Segoe UI" w:cs="Segoe UI"/>
          <w:sz w:val="20"/>
          <w:szCs w:val="20"/>
        </w:rPr>
        <w:t xml:space="preserve">nt de faire appliquer – d’abord sur une base volontaire -  des </w:t>
      </w:r>
      <w:r w:rsidRPr="00561300">
        <w:rPr>
          <w:rFonts w:ascii="Segoe UI" w:eastAsia="Times New Roman" w:hAnsi="Segoe UI" w:cs="Segoe UI"/>
          <w:sz w:val="20"/>
          <w:szCs w:val="20"/>
          <w:u w:val="single"/>
        </w:rPr>
        <w:t>règles plus strictes</w:t>
      </w:r>
      <w:r w:rsidRPr="00561300">
        <w:rPr>
          <w:rFonts w:ascii="Segoe UI" w:eastAsia="Times New Roman" w:hAnsi="Segoe UI" w:cs="Segoe UI"/>
          <w:sz w:val="20"/>
          <w:szCs w:val="20"/>
        </w:rPr>
        <w:t xml:space="preserve"> </w:t>
      </w:r>
      <w:r w:rsidR="00023375" w:rsidRPr="00561300">
        <w:rPr>
          <w:rFonts w:ascii="Segoe UI" w:eastAsia="Times New Roman" w:hAnsi="Segoe UI" w:cs="Segoe UI"/>
          <w:sz w:val="20"/>
          <w:szCs w:val="20"/>
        </w:rPr>
        <w:t xml:space="preserve"> d’intérêt général </w:t>
      </w:r>
      <w:r w:rsidRPr="00561300">
        <w:rPr>
          <w:rFonts w:ascii="Segoe UI" w:eastAsia="Times New Roman" w:hAnsi="Segoe UI" w:cs="Segoe UI"/>
          <w:sz w:val="20"/>
          <w:szCs w:val="20"/>
        </w:rPr>
        <w:t xml:space="preserve">d’un pays de </w:t>
      </w:r>
      <w:r w:rsidR="00F24E74" w:rsidRPr="00561300">
        <w:rPr>
          <w:rFonts w:ascii="Segoe UI" w:eastAsia="Times New Roman" w:hAnsi="Segoe UI" w:cs="Segoe UI"/>
          <w:sz w:val="20"/>
          <w:szCs w:val="20"/>
        </w:rPr>
        <w:t>destination</w:t>
      </w:r>
      <w:r w:rsidRPr="00561300">
        <w:rPr>
          <w:rFonts w:ascii="Segoe UI" w:eastAsia="Times New Roman" w:hAnsi="Segoe UI" w:cs="Segoe UI"/>
          <w:sz w:val="20"/>
          <w:szCs w:val="20"/>
        </w:rPr>
        <w:t xml:space="preserve"> </w:t>
      </w:r>
      <w:r w:rsidR="00150EF0" w:rsidRPr="00561300">
        <w:rPr>
          <w:rFonts w:ascii="Segoe UI" w:eastAsia="Times New Roman" w:hAnsi="Segoe UI" w:cs="Segoe UI"/>
          <w:sz w:val="20"/>
          <w:szCs w:val="20"/>
        </w:rPr>
        <w:t>(dérogations non applicables aux services non linéaires)</w:t>
      </w:r>
      <w:r w:rsidRPr="00561300">
        <w:rPr>
          <w:rFonts w:ascii="Segoe UI" w:eastAsia="Times New Roman" w:hAnsi="Segoe UI" w:cs="Segoe UI"/>
          <w:sz w:val="20"/>
          <w:szCs w:val="20"/>
        </w:rPr>
        <w:t xml:space="preserve">  </w:t>
      </w:r>
    </w:p>
    <w:p w:rsidR="00874BAC" w:rsidRPr="00561300" w:rsidRDefault="00150EF0" w:rsidP="004F3ABF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Theme="minorEastAsia" w:hAnsi="Segoe UI" w:cs="Segoe UI"/>
          <w:sz w:val="20"/>
          <w:szCs w:val="20"/>
          <w:lang w:eastAsia="fr-BE"/>
        </w:rPr>
      </w:pPr>
      <w:r w:rsidRPr="00561300">
        <w:rPr>
          <w:rFonts w:ascii="Segoe UI" w:eastAsiaTheme="minorEastAsia" w:hAnsi="Segoe UI" w:cs="Segoe UI"/>
          <w:sz w:val="20"/>
          <w:szCs w:val="20"/>
          <w:lang w:eastAsia="fr-BE"/>
        </w:rPr>
        <w:t xml:space="preserve">  </w:t>
      </w:r>
    </w:p>
    <w:p w:rsidR="00AB4DD3" w:rsidRPr="00561300" w:rsidRDefault="00AB4DD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Theme="minorEastAsia" w:hAnsi="Segoe UI" w:cs="Segoe UI"/>
          <w:b/>
          <w:sz w:val="20"/>
          <w:szCs w:val="20"/>
          <w:lang w:eastAsia="fr-BE"/>
        </w:rPr>
      </w:pPr>
    </w:p>
    <w:p w:rsidR="00B4556D" w:rsidRDefault="00B4556D" w:rsidP="00AB4DD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B4556D">
        <w:rPr>
          <w:rFonts w:ascii="Segoe UI" w:eastAsia="Times New Roman" w:hAnsi="Segoe UI" w:cs="Segoe UI"/>
          <w:b/>
          <w:i/>
          <w:sz w:val="20"/>
          <w:szCs w:val="20"/>
        </w:rPr>
        <w:t>N</w:t>
      </w:r>
      <w:r w:rsidR="005301F6" w:rsidRPr="00B4556D">
        <w:rPr>
          <w:rFonts w:ascii="Segoe UI" w:eastAsia="Times New Roman" w:hAnsi="Segoe UI" w:cs="Segoe UI"/>
          <w:b/>
          <w:i/>
          <w:sz w:val="20"/>
          <w:szCs w:val="20"/>
        </w:rPr>
        <w:t>ous sommes dans un momentum particulier</w:t>
      </w:r>
      <w:r>
        <w:rPr>
          <w:rFonts w:ascii="Segoe UI" w:eastAsia="Times New Roman" w:hAnsi="Segoe UI" w:cs="Segoe UI"/>
          <w:sz w:val="20"/>
          <w:szCs w:val="20"/>
        </w:rPr>
        <w:t> </w:t>
      </w:r>
    </w:p>
    <w:p w:rsidR="00B4556D" w:rsidRDefault="005301F6" w:rsidP="00AB4DD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561300">
        <w:rPr>
          <w:rFonts w:ascii="Segoe UI" w:eastAsia="Times New Roman" w:hAnsi="Segoe UI" w:cs="Segoe UI"/>
          <w:sz w:val="20"/>
          <w:szCs w:val="20"/>
        </w:rPr>
        <w:t xml:space="preserve"> </w:t>
      </w:r>
    </w:p>
    <w:p w:rsidR="00930997" w:rsidRPr="00561300" w:rsidRDefault="005301F6" w:rsidP="00AB4DD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561300">
        <w:rPr>
          <w:rFonts w:ascii="Segoe UI" w:eastAsia="Times New Roman" w:hAnsi="Segoe UI" w:cs="Segoe UI"/>
          <w:sz w:val="20"/>
          <w:szCs w:val="20"/>
        </w:rPr>
        <w:t>Dans le cadre du</w:t>
      </w:r>
      <w:r w:rsidR="00150EF0" w:rsidRPr="00561300">
        <w:rPr>
          <w:rFonts w:ascii="Segoe UI" w:eastAsia="Times New Roman" w:hAnsi="Segoe UI" w:cs="Segoe UI"/>
          <w:sz w:val="20"/>
          <w:szCs w:val="20"/>
        </w:rPr>
        <w:t xml:space="preserve"> proce</w:t>
      </w:r>
      <w:r w:rsidR="00B81181" w:rsidRPr="00561300">
        <w:rPr>
          <w:rFonts w:ascii="Segoe UI" w:eastAsia="Times New Roman" w:hAnsi="Segoe UI" w:cs="Segoe UI"/>
          <w:sz w:val="20"/>
          <w:szCs w:val="20"/>
        </w:rPr>
        <w:t>ssus de révision</w:t>
      </w:r>
      <w:r w:rsidR="00023375" w:rsidRPr="00561300">
        <w:rPr>
          <w:rFonts w:ascii="Segoe UI" w:eastAsia="Times New Roman" w:hAnsi="Segoe UI" w:cs="Segoe UI"/>
          <w:sz w:val="20"/>
          <w:szCs w:val="20"/>
        </w:rPr>
        <w:t xml:space="preserve"> de la DSMA</w:t>
      </w:r>
      <w:r w:rsidR="00930997" w:rsidRPr="00561300">
        <w:rPr>
          <w:rFonts w:ascii="Segoe UI" w:eastAsia="Times New Roman" w:hAnsi="Segoe UI" w:cs="Segoe UI"/>
          <w:sz w:val="20"/>
          <w:szCs w:val="20"/>
        </w:rPr>
        <w:t xml:space="preserve"> </w:t>
      </w:r>
    </w:p>
    <w:p w:rsidR="00930997" w:rsidRPr="00561300" w:rsidRDefault="00AB4DD3" w:rsidP="00930997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561300">
        <w:rPr>
          <w:rFonts w:ascii="Segoe UI" w:eastAsia="Times New Roman" w:hAnsi="Segoe UI" w:cs="Segoe UI"/>
          <w:b/>
          <w:sz w:val="20"/>
          <w:szCs w:val="20"/>
        </w:rPr>
        <w:t>l’ERGA</w:t>
      </w:r>
      <w:r w:rsidR="00023375" w:rsidRPr="00561300">
        <w:rPr>
          <w:rFonts w:ascii="Segoe UI" w:eastAsia="Times New Roman" w:hAnsi="Segoe UI" w:cs="Segoe UI"/>
          <w:b/>
          <w:sz w:val="20"/>
          <w:szCs w:val="20"/>
        </w:rPr>
        <w:t xml:space="preserve"> </w:t>
      </w:r>
      <w:r w:rsidR="00023375" w:rsidRPr="00561300">
        <w:rPr>
          <w:rFonts w:ascii="Segoe UI" w:eastAsia="Times New Roman" w:hAnsi="Segoe UI" w:cs="Segoe UI"/>
          <w:sz w:val="20"/>
          <w:szCs w:val="20"/>
        </w:rPr>
        <w:t>(dont le CSA est un membre actif)</w:t>
      </w:r>
      <w:r w:rsidR="005301F6" w:rsidRPr="00561300">
        <w:rPr>
          <w:rFonts w:ascii="Segoe UI" w:eastAsia="Times New Roman" w:hAnsi="Segoe UI" w:cs="Segoe UI"/>
          <w:sz w:val="20"/>
          <w:szCs w:val="20"/>
        </w:rPr>
        <w:t xml:space="preserve"> a beaucoup échangé sur le sujet dans un groupe de travail depuis un an. Il met la dernière main</w:t>
      </w:r>
      <w:r w:rsidR="00023375" w:rsidRPr="00561300">
        <w:rPr>
          <w:rFonts w:ascii="Segoe UI" w:eastAsia="Times New Roman" w:hAnsi="Segoe UI" w:cs="Segoe UI"/>
          <w:sz w:val="20"/>
          <w:szCs w:val="20"/>
        </w:rPr>
        <w:t xml:space="preserve"> </w:t>
      </w:r>
      <w:r w:rsidR="005301F6" w:rsidRPr="00561300">
        <w:rPr>
          <w:rFonts w:ascii="Segoe UI" w:eastAsia="Times New Roman" w:hAnsi="Segoe UI" w:cs="Segoe UI"/>
          <w:sz w:val="20"/>
          <w:szCs w:val="20"/>
        </w:rPr>
        <w:t xml:space="preserve">à son rapport. </w:t>
      </w:r>
    </w:p>
    <w:p w:rsidR="00AB4DD3" w:rsidRPr="00561300" w:rsidRDefault="005301F6" w:rsidP="00930997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561300">
        <w:rPr>
          <w:rFonts w:ascii="Segoe UI" w:eastAsia="Times New Roman" w:hAnsi="Segoe UI" w:cs="Segoe UI"/>
          <w:b/>
          <w:sz w:val="20"/>
          <w:szCs w:val="20"/>
        </w:rPr>
        <w:t>Les ré</w:t>
      </w:r>
      <w:r w:rsidR="00930997" w:rsidRPr="00561300">
        <w:rPr>
          <w:rFonts w:ascii="Segoe UI" w:eastAsia="Times New Roman" w:hAnsi="Segoe UI" w:cs="Segoe UI"/>
          <w:b/>
          <w:sz w:val="20"/>
          <w:szCs w:val="20"/>
        </w:rPr>
        <w:t>gulateurs</w:t>
      </w:r>
      <w:r w:rsidR="00930997" w:rsidRPr="00561300">
        <w:rPr>
          <w:rFonts w:ascii="Segoe UI" w:eastAsia="Times New Roman" w:hAnsi="Segoe UI" w:cs="Segoe UI"/>
          <w:sz w:val="20"/>
          <w:szCs w:val="20"/>
        </w:rPr>
        <w:t xml:space="preserve"> se sont exprimé</w:t>
      </w:r>
      <w:r w:rsidR="00C5438C" w:rsidRPr="00561300">
        <w:rPr>
          <w:rFonts w:ascii="Segoe UI" w:eastAsia="Times New Roman" w:hAnsi="Segoe UI" w:cs="Segoe UI"/>
          <w:sz w:val="20"/>
          <w:szCs w:val="20"/>
        </w:rPr>
        <w:t>s dans leur réponse à la consultation publique sur la directive SMA</w:t>
      </w:r>
    </w:p>
    <w:p w:rsidR="00466FAA" w:rsidRPr="00561300" w:rsidRDefault="00466FAA" w:rsidP="00466FA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</w:p>
    <w:p w:rsidR="00F24E74" w:rsidRPr="00561300" w:rsidRDefault="00023375" w:rsidP="00F24E7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Theme="minorEastAsia" w:hAnsi="Segoe UI" w:cs="Segoe UI"/>
          <w:b/>
          <w:i/>
          <w:sz w:val="20"/>
          <w:szCs w:val="20"/>
          <w:lang w:eastAsia="fr-BE"/>
        </w:rPr>
      </w:pPr>
      <w:r w:rsidRPr="00561300">
        <w:rPr>
          <w:rFonts w:ascii="Segoe UI" w:eastAsiaTheme="minorEastAsia" w:hAnsi="Segoe UI" w:cs="Segoe UI"/>
          <w:b/>
          <w:i/>
          <w:sz w:val="20"/>
          <w:szCs w:val="20"/>
          <w:lang w:eastAsia="fr-BE"/>
        </w:rPr>
        <w:t>Depuis l’adoption de  la directive SMA, l</w:t>
      </w:r>
      <w:r w:rsidR="00F24E74" w:rsidRPr="00561300">
        <w:rPr>
          <w:rFonts w:ascii="Segoe UI" w:eastAsiaTheme="minorEastAsia" w:hAnsi="Segoe UI" w:cs="Segoe UI"/>
          <w:b/>
          <w:i/>
          <w:sz w:val="20"/>
          <w:szCs w:val="20"/>
          <w:lang w:eastAsia="fr-BE"/>
        </w:rPr>
        <w:t>a question de la compétence territoriale est confrontée  à des phénomènes qui vont croissant</w:t>
      </w:r>
      <w:r w:rsidR="00454ADF">
        <w:rPr>
          <w:rFonts w:ascii="Segoe UI" w:eastAsiaTheme="minorEastAsia" w:hAnsi="Segoe UI" w:cs="Segoe UI"/>
          <w:b/>
          <w:i/>
          <w:sz w:val="20"/>
          <w:szCs w:val="20"/>
          <w:lang w:eastAsia="fr-BE"/>
        </w:rPr>
        <w:t> :</w:t>
      </w:r>
    </w:p>
    <w:p w:rsidR="005D61F7" w:rsidRPr="00561300" w:rsidRDefault="005D61F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Theme="minorEastAsia" w:hAnsi="Segoe UI" w:cs="Segoe UI"/>
          <w:b/>
          <w:sz w:val="20"/>
          <w:szCs w:val="20"/>
          <w:lang w:eastAsia="fr-BE"/>
        </w:rPr>
      </w:pPr>
    </w:p>
    <w:p w:rsidR="00466FAA" w:rsidRPr="00561300" w:rsidRDefault="00466FAA" w:rsidP="00454ADF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61300">
        <w:rPr>
          <w:rFonts w:ascii="Segoe UI" w:hAnsi="Segoe UI" w:cs="Segoe UI"/>
          <w:sz w:val="20"/>
          <w:szCs w:val="20"/>
        </w:rPr>
        <w:t>La mise en œuvre différente de la directive dans différents état membres, conduisant à des procédures de rattachement conflictuelles</w:t>
      </w:r>
      <w:r w:rsidR="00454ADF">
        <w:rPr>
          <w:rFonts w:ascii="Segoe UI" w:hAnsi="Segoe UI" w:cs="Segoe UI"/>
          <w:sz w:val="20"/>
          <w:szCs w:val="20"/>
        </w:rPr>
        <w:t> ;</w:t>
      </w:r>
    </w:p>
    <w:p w:rsidR="00466FAA" w:rsidRPr="00561300" w:rsidRDefault="00466FAA" w:rsidP="00454ADF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61300">
        <w:rPr>
          <w:rFonts w:ascii="Segoe UI" w:hAnsi="Segoe UI" w:cs="Segoe UI"/>
          <w:sz w:val="20"/>
          <w:szCs w:val="20"/>
        </w:rPr>
        <w:t>L’éclatement des activités d’un même fournisseur entre plusieurs EM, et singulièrement l’éclatement  - volontaire ou non - de différentes fonctions de la responsabilité éditori</w:t>
      </w:r>
      <w:r w:rsidR="00454ADF">
        <w:rPr>
          <w:rFonts w:ascii="Segoe UI" w:hAnsi="Segoe UI" w:cs="Segoe UI"/>
          <w:sz w:val="20"/>
          <w:szCs w:val="20"/>
        </w:rPr>
        <w:t>ale ;</w:t>
      </w:r>
    </w:p>
    <w:p w:rsidR="00F24E74" w:rsidRPr="00561300" w:rsidRDefault="00F24E74" w:rsidP="00454ADF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61300">
        <w:rPr>
          <w:rFonts w:ascii="Segoe UI" w:hAnsi="Segoe UI" w:cs="Segoe UI"/>
          <w:sz w:val="20"/>
          <w:szCs w:val="20"/>
        </w:rPr>
        <w:t xml:space="preserve">Le </w:t>
      </w:r>
      <w:r w:rsidR="00466FAA" w:rsidRPr="00561300">
        <w:rPr>
          <w:rFonts w:ascii="Segoe UI" w:hAnsi="Segoe UI" w:cs="Segoe UI"/>
          <w:i/>
          <w:sz w:val="20"/>
          <w:szCs w:val="20"/>
        </w:rPr>
        <w:t>f</w:t>
      </w:r>
      <w:r w:rsidRPr="00561300">
        <w:rPr>
          <w:rFonts w:ascii="Segoe UI" w:hAnsi="Segoe UI" w:cs="Segoe UI"/>
          <w:i/>
          <w:sz w:val="20"/>
          <w:szCs w:val="20"/>
        </w:rPr>
        <w:t>orum shopping</w:t>
      </w:r>
      <w:r w:rsidRPr="00561300">
        <w:rPr>
          <w:rFonts w:ascii="Segoe UI" w:hAnsi="Segoe UI" w:cs="Segoe UI"/>
          <w:sz w:val="20"/>
          <w:szCs w:val="20"/>
        </w:rPr>
        <w:t xml:space="preserve"> : </w:t>
      </w:r>
      <w:r w:rsidR="00B81181" w:rsidRPr="00561300">
        <w:rPr>
          <w:rFonts w:ascii="Segoe UI" w:hAnsi="Segoe UI" w:cs="Segoe UI"/>
          <w:sz w:val="20"/>
          <w:szCs w:val="20"/>
        </w:rPr>
        <w:t xml:space="preserve">principe par lequel </w:t>
      </w:r>
      <w:r w:rsidRPr="00561300">
        <w:rPr>
          <w:rFonts w:ascii="Segoe UI" w:hAnsi="Segoe UI" w:cs="Segoe UI"/>
          <w:sz w:val="20"/>
          <w:szCs w:val="20"/>
        </w:rPr>
        <w:t>des fournisseurs de serv</w:t>
      </w:r>
      <w:r w:rsidR="00466FAA" w:rsidRPr="00561300">
        <w:rPr>
          <w:rFonts w:ascii="Segoe UI" w:hAnsi="Segoe UI" w:cs="Segoe UI"/>
          <w:sz w:val="20"/>
          <w:szCs w:val="20"/>
        </w:rPr>
        <w:t>ices s’établissent dans un</w:t>
      </w:r>
      <w:r w:rsidR="00624A65" w:rsidRPr="00561300">
        <w:rPr>
          <w:rFonts w:ascii="Segoe UI" w:hAnsi="Segoe UI" w:cs="Segoe UI"/>
          <w:sz w:val="20"/>
          <w:szCs w:val="20"/>
        </w:rPr>
        <w:t xml:space="preserve"> EM</w:t>
      </w:r>
      <w:r w:rsidRPr="00561300">
        <w:rPr>
          <w:rFonts w:ascii="Segoe UI" w:hAnsi="Segoe UI" w:cs="Segoe UI"/>
          <w:sz w:val="20"/>
          <w:szCs w:val="20"/>
        </w:rPr>
        <w:t xml:space="preserve"> </w:t>
      </w:r>
      <w:r w:rsidR="00466FAA" w:rsidRPr="00561300">
        <w:rPr>
          <w:rFonts w:ascii="Segoe UI" w:hAnsi="Segoe UI" w:cs="Segoe UI"/>
          <w:sz w:val="20"/>
          <w:szCs w:val="20"/>
        </w:rPr>
        <w:t xml:space="preserve">– en ce compris les filiales de compagnies non européennes de services en ligne -  </w:t>
      </w:r>
      <w:r w:rsidRPr="00561300">
        <w:rPr>
          <w:rFonts w:ascii="Segoe UI" w:hAnsi="Segoe UI" w:cs="Segoe UI"/>
          <w:sz w:val="20"/>
          <w:szCs w:val="20"/>
        </w:rPr>
        <w:t xml:space="preserve">pour </w:t>
      </w:r>
      <w:r w:rsidR="00466FAA" w:rsidRPr="00561300">
        <w:rPr>
          <w:rFonts w:ascii="Segoe UI" w:hAnsi="Segoe UI" w:cs="Segoe UI"/>
          <w:sz w:val="20"/>
          <w:szCs w:val="20"/>
        </w:rPr>
        <w:t xml:space="preserve"> </w:t>
      </w:r>
      <w:r w:rsidRPr="00561300">
        <w:rPr>
          <w:rFonts w:ascii="Segoe UI" w:hAnsi="Segoe UI" w:cs="Segoe UI"/>
          <w:sz w:val="20"/>
          <w:szCs w:val="20"/>
        </w:rPr>
        <w:t>ensuite destine</w:t>
      </w:r>
      <w:r w:rsidR="00624A65" w:rsidRPr="00561300">
        <w:rPr>
          <w:rFonts w:ascii="Segoe UI" w:hAnsi="Segoe UI" w:cs="Segoe UI"/>
          <w:sz w:val="20"/>
          <w:szCs w:val="20"/>
        </w:rPr>
        <w:t xml:space="preserve">r leur service à d’autres EM et, parmi différentes raisons, </w:t>
      </w:r>
      <w:r w:rsidRPr="00561300">
        <w:rPr>
          <w:rFonts w:ascii="Segoe UI" w:hAnsi="Segoe UI" w:cs="Segoe UI"/>
          <w:sz w:val="20"/>
          <w:szCs w:val="20"/>
        </w:rPr>
        <w:t>échapper à des règlementations plus strictes</w:t>
      </w:r>
      <w:r w:rsidR="00B81181" w:rsidRPr="00561300">
        <w:rPr>
          <w:rFonts w:ascii="Segoe UI" w:hAnsi="Segoe UI" w:cs="Segoe UI"/>
          <w:sz w:val="20"/>
          <w:szCs w:val="20"/>
        </w:rPr>
        <w:t xml:space="preserve"> ou une régulation plus volontaire</w:t>
      </w:r>
      <w:r w:rsidR="00454ADF">
        <w:rPr>
          <w:rFonts w:ascii="Segoe UI" w:hAnsi="Segoe UI" w:cs="Segoe UI"/>
          <w:sz w:val="20"/>
          <w:szCs w:val="20"/>
        </w:rPr>
        <w:t> ;</w:t>
      </w:r>
    </w:p>
    <w:p w:rsidR="00F24E74" w:rsidRPr="00561300" w:rsidRDefault="00624A65" w:rsidP="00454ADF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61300">
        <w:rPr>
          <w:rFonts w:ascii="Segoe UI" w:hAnsi="Segoe UI" w:cs="Segoe UI"/>
          <w:sz w:val="20"/>
          <w:szCs w:val="20"/>
        </w:rPr>
        <w:t xml:space="preserve">L’apparition des services </w:t>
      </w:r>
      <w:r w:rsidR="00F24E74" w:rsidRPr="00561300">
        <w:rPr>
          <w:rFonts w:ascii="Segoe UI" w:hAnsi="Segoe UI" w:cs="Segoe UI"/>
          <w:sz w:val="20"/>
          <w:szCs w:val="20"/>
        </w:rPr>
        <w:t xml:space="preserve">non européens en ligne, </w:t>
      </w:r>
      <w:r w:rsidR="00466FAA" w:rsidRPr="00561300">
        <w:rPr>
          <w:rFonts w:ascii="Segoe UI" w:hAnsi="Segoe UI" w:cs="Segoe UI"/>
          <w:sz w:val="20"/>
          <w:szCs w:val="20"/>
        </w:rPr>
        <w:t xml:space="preserve">qui destinent leur offre individuellement à différents </w:t>
      </w:r>
      <w:r w:rsidR="00F24E74" w:rsidRPr="00561300">
        <w:rPr>
          <w:rFonts w:ascii="Segoe UI" w:hAnsi="Segoe UI" w:cs="Segoe UI"/>
          <w:sz w:val="20"/>
          <w:szCs w:val="20"/>
        </w:rPr>
        <w:t>EM de l’UE</w:t>
      </w:r>
      <w:r w:rsidR="00454ADF">
        <w:rPr>
          <w:rFonts w:ascii="Segoe UI" w:hAnsi="Segoe UI" w:cs="Segoe UI"/>
          <w:sz w:val="20"/>
          <w:szCs w:val="20"/>
        </w:rPr>
        <w:t> ;</w:t>
      </w:r>
    </w:p>
    <w:p w:rsidR="00F24E74" w:rsidRDefault="00F24E74" w:rsidP="00F24E7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B4556D" w:rsidRDefault="00B4556D" w:rsidP="00F24E7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B4556D" w:rsidRDefault="00B4556D" w:rsidP="00F24E7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B4556D" w:rsidRDefault="00B4556D" w:rsidP="00F24E7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B4556D" w:rsidRDefault="00B4556D" w:rsidP="00F24E7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B4556D" w:rsidRDefault="00B4556D" w:rsidP="00F24E7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B4556D" w:rsidRDefault="00B4556D" w:rsidP="00F24E7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B4556D" w:rsidRDefault="00B4556D" w:rsidP="00F24E7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B4556D" w:rsidRDefault="00B4556D" w:rsidP="00F24E7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B4556D" w:rsidRPr="00561300" w:rsidRDefault="00B4556D" w:rsidP="00F24E7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C431E1" w:rsidRPr="00561300" w:rsidRDefault="00C431E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Theme="minorEastAsia" w:hAnsi="Segoe UI" w:cs="Segoe UI"/>
          <w:b/>
          <w:sz w:val="20"/>
          <w:szCs w:val="20"/>
          <w:lang w:eastAsia="fr-BE"/>
        </w:rPr>
      </w:pPr>
    </w:p>
    <w:p w:rsidR="007A3AE6" w:rsidRPr="00561300" w:rsidRDefault="007A3AE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4556D" w:rsidRPr="00B4556D" w:rsidRDefault="00B4556D" w:rsidP="005613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Theme="minorEastAsia" w:hAnsi="Segoe UI" w:cs="Segoe UI"/>
          <w:b/>
          <w:sz w:val="20"/>
          <w:szCs w:val="20"/>
          <w:lang w:eastAsia="fr-BE"/>
        </w:rPr>
      </w:pPr>
      <w:r>
        <w:rPr>
          <w:rFonts w:ascii="Segoe UI" w:eastAsiaTheme="minorEastAsia" w:hAnsi="Segoe UI" w:cs="Segoe UI"/>
          <w:b/>
          <w:sz w:val="20"/>
          <w:szCs w:val="20"/>
          <w:lang w:eastAsia="fr-BE"/>
        </w:rPr>
        <w:t xml:space="preserve">LA JURIDICTION EN CHIFFRES EN </w:t>
      </w:r>
      <w:r w:rsidR="00CA0BAB">
        <w:rPr>
          <w:rFonts w:ascii="Segoe UI" w:eastAsiaTheme="minorEastAsia" w:hAnsi="Segoe UI" w:cs="Segoe UI"/>
          <w:b/>
          <w:sz w:val="20"/>
          <w:szCs w:val="20"/>
          <w:lang w:eastAsia="fr-BE"/>
        </w:rPr>
        <w:t>BELGIQUE</w:t>
      </w:r>
      <w:r>
        <w:rPr>
          <w:rFonts w:ascii="Segoe UI" w:eastAsiaTheme="minorEastAsia" w:hAnsi="Segoe UI" w:cs="Segoe UI"/>
          <w:b/>
          <w:sz w:val="20"/>
          <w:szCs w:val="20"/>
          <w:lang w:eastAsia="fr-BE"/>
        </w:rPr>
        <w:t xml:space="preserve"> (WB) ET EN EUROPE</w:t>
      </w:r>
    </w:p>
    <w:p w:rsidR="00B4556D" w:rsidRDefault="00B4556D" w:rsidP="005613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Theme="minorEastAsia" w:hAnsi="Segoe UI" w:cs="Segoe UI"/>
          <w:b/>
          <w:i/>
          <w:sz w:val="20"/>
          <w:szCs w:val="20"/>
          <w:lang w:eastAsia="fr-BE"/>
        </w:rPr>
      </w:pPr>
    </w:p>
    <w:p w:rsidR="00B84929" w:rsidRDefault="00B84929" w:rsidP="00B8492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Theme="minorEastAsia" w:hAnsi="Segoe UI" w:cs="Segoe UI"/>
          <w:b/>
          <w:i/>
          <w:sz w:val="20"/>
          <w:szCs w:val="20"/>
          <w:lang w:eastAsia="fr-BE"/>
        </w:rPr>
      </w:pPr>
    </w:p>
    <w:p w:rsidR="00B84929" w:rsidRDefault="00B84929" w:rsidP="00B8492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</w:rPr>
      </w:pPr>
      <w:r>
        <w:rPr>
          <w:rFonts w:ascii="Segoe UI" w:eastAsiaTheme="minorEastAsia" w:hAnsi="Segoe UI" w:cs="Segoe UI"/>
          <w:b/>
          <w:i/>
          <w:sz w:val="20"/>
          <w:szCs w:val="20"/>
          <w:lang w:eastAsia="fr-BE"/>
        </w:rPr>
        <w:t>Belgique (FWB) : les différentes situations de rattachement en chiffre</w:t>
      </w:r>
      <w:r w:rsidR="00454ADF">
        <w:rPr>
          <w:rFonts w:ascii="Segoe UI" w:eastAsiaTheme="minorEastAsia" w:hAnsi="Segoe UI" w:cs="Segoe UI"/>
          <w:b/>
          <w:i/>
          <w:sz w:val="20"/>
          <w:szCs w:val="20"/>
          <w:lang w:eastAsia="fr-BE"/>
        </w:rPr>
        <w:t>s</w:t>
      </w:r>
      <w:r>
        <w:rPr>
          <w:rFonts w:ascii="Segoe UI" w:eastAsiaTheme="minorEastAsia" w:hAnsi="Segoe UI" w:cs="Segoe UI"/>
          <w:b/>
          <w:i/>
          <w:sz w:val="20"/>
          <w:szCs w:val="20"/>
          <w:lang w:eastAsia="fr-BE"/>
        </w:rPr>
        <w:t xml:space="preserve"> d’audience et de marché publicitaire</w:t>
      </w:r>
    </w:p>
    <w:p w:rsidR="00B84929" w:rsidRDefault="00B84929" w:rsidP="0004132C">
      <w:pPr>
        <w:jc w:val="both"/>
        <w:rPr>
          <w:rFonts w:ascii="Segoe UI" w:eastAsia="Calibri" w:hAnsi="Segoe UI" w:cs="Segoe UI"/>
        </w:rPr>
      </w:pPr>
    </w:p>
    <w:p w:rsidR="00561300" w:rsidRPr="005301F6" w:rsidRDefault="00561300" w:rsidP="0004132C">
      <w:pPr>
        <w:jc w:val="both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  <w:noProof/>
          <w:lang w:eastAsia="fr-BE"/>
        </w:rPr>
        <w:drawing>
          <wp:inline distT="0" distB="0" distL="0" distR="0" wp14:anchorId="7F2BEB7F">
            <wp:extent cx="6096635" cy="34296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929" w:rsidRPr="00B84929" w:rsidRDefault="00B84929" w:rsidP="00B84929">
      <w:pPr>
        <w:jc w:val="both"/>
        <w:rPr>
          <w:rFonts w:ascii="Segoe UI" w:eastAsia="Calibri" w:hAnsi="Segoe UI" w:cs="Segoe UI"/>
          <w:sz w:val="20"/>
          <w:szCs w:val="20"/>
        </w:rPr>
      </w:pPr>
    </w:p>
    <w:p w:rsidR="00B84929" w:rsidRPr="00B84929" w:rsidRDefault="00B84929" w:rsidP="00B84929">
      <w:pPr>
        <w:ind w:left="360"/>
        <w:jc w:val="both"/>
        <w:rPr>
          <w:rFonts w:ascii="Segoe UI" w:eastAsia="Calibri" w:hAnsi="Segoe UI" w:cs="Segoe UI"/>
          <w:sz w:val="20"/>
          <w:szCs w:val="20"/>
        </w:rPr>
      </w:pPr>
    </w:p>
    <w:p w:rsidR="006232D8" w:rsidRPr="00CA0BAB" w:rsidRDefault="00B81181" w:rsidP="006232D8">
      <w:pPr>
        <w:pStyle w:val="Paragraphedeliste"/>
        <w:numPr>
          <w:ilvl w:val="0"/>
          <w:numId w:val="18"/>
        </w:numPr>
        <w:jc w:val="both"/>
        <w:rPr>
          <w:rFonts w:ascii="Segoe UI" w:eastAsia="Calibri" w:hAnsi="Segoe UI" w:cs="Segoe UI"/>
          <w:sz w:val="20"/>
          <w:szCs w:val="20"/>
        </w:rPr>
      </w:pPr>
      <w:r w:rsidRPr="00CA0BAB">
        <w:rPr>
          <w:rFonts w:ascii="Segoe UI" w:eastAsia="Calibri" w:hAnsi="Segoe UI" w:cs="Segoe UI"/>
          <w:b/>
          <w:color w:val="002060"/>
          <w:sz w:val="20"/>
          <w:szCs w:val="20"/>
          <w:u w:val="single"/>
        </w:rPr>
        <w:t>BLEU FONCE</w:t>
      </w:r>
      <w:r w:rsidR="00870E2D" w:rsidRPr="00CA0BAB">
        <w:rPr>
          <w:rFonts w:ascii="Segoe UI" w:eastAsia="Calibri" w:hAnsi="Segoe UI" w:cs="Segoe UI"/>
          <w:color w:val="002060"/>
          <w:sz w:val="20"/>
          <w:szCs w:val="20"/>
        </w:rPr>
        <w:t> </w:t>
      </w:r>
      <w:r w:rsidR="00870E2D" w:rsidRPr="00CA0BAB">
        <w:rPr>
          <w:rFonts w:ascii="Segoe UI" w:eastAsia="Calibri" w:hAnsi="Segoe UI" w:cs="Segoe UI"/>
          <w:sz w:val="20"/>
          <w:szCs w:val="20"/>
        </w:rPr>
        <w:t xml:space="preserve">: </w:t>
      </w:r>
      <w:r w:rsidR="00454ADF">
        <w:rPr>
          <w:rFonts w:ascii="Segoe UI" w:eastAsia="Calibri" w:hAnsi="Segoe UI" w:cs="Segoe UI"/>
          <w:sz w:val="20"/>
          <w:szCs w:val="20"/>
        </w:rPr>
        <w:t>s</w:t>
      </w:r>
      <w:r w:rsidR="00FA60C0" w:rsidRPr="00CA0BAB">
        <w:rPr>
          <w:rFonts w:ascii="Segoe UI" w:eastAsia="Calibri" w:hAnsi="Segoe UI" w:cs="Segoe UI"/>
          <w:sz w:val="20"/>
          <w:szCs w:val="20"/>
        </w:rPr>
        <w:t>ervices télévisuels</w:t>
      </w:r>
      <w:r w:rsidR="00781FC2" w:rsidRPr="00CA0BAB">
        <w:rPr>
          <w:rFonts w:ascii="Segoe UI" w:hAnsi="Segoe UI" w:cs="Segoe UI"/>
          <w:sz w:val="20"/>
          <w:szCs w:val="20"/>
        </w:rPr>
        <w:t xml:space="preserve"> établis </w:t>
      </w:r>
      <w:r w:rsidR="006232D8" w:rsidRPr="00CA0BAB">
        <w:rPr>
          <w:rFonts w:ascii="Segoe UI" w:hAnsi="Segoe UI" w:cs="Segoe UI"/>
          <w:sz w:val="20"/>
          <w:szCs w:val="20"/>
        </w:rPr>
        <w:t xml:space="preserve">en FWB </w:t>
      </w:r>
      <w:r w:rsidR="00AF41CD" w:rsidRPr="00CA0BAB">
        <w:rPr>
          <w:rFonts w:ascii="Segoe UI" w:hAnsi="Segoe UI" w:cs="Segoe UI"/>
          <w:sz w:val="20"/>
          <w:szCs w:val="20"/>
        </w:rPr>
        <w:t>et destiné</w:t>
      </w:r>
      <w:r w:rsidR="009F1787" w:rsidRPr="00CA0BAB">
        <w:rPr>
          <w:rFonts w:ascii="Segoe UI" w:hAnsi="Segoe UI" w:cs="Segoe UI"/>
          <w:sz w:val="20"/>
          <w:szCs w:val="20"/>
        </w:rPr>
        <w:t>s</w:t>
      </w:r>
      <w:r w:rsidR="00AF41CD" w:rsidRPr="00CA0BAB">
        <w:rPr>
          <w:rFonts w:ascii="Segoe UI" w:hAnsi="Segoe UI" w:cs="Segoe UI"/>
          <w:sz w:val="20"/>
          <w:szCs w:val="20"/>
        </w:rPr>
        <w:t xml:space="preserve"> à une audience </w:t>
      </w:r>
      <w:r w:rsidR="00781FC2" w:rsidRPr="00CA0BAB">
        <w:rPr>
          <w:rFonts w:ascii="Segoe UI" w:hAnsi="Segoe UI" w:cs="Segoe UI"/>
          <w:sz w:val="20"/>
          <w:szCs w:val="20"/>
        </w:rPr>
        <w:t>en FWB</w:t>
      </w:r>
    </w:p>
    <w:p w:rsidR="006232D8" w:rsidRPr="00CA0BAB" w:rsidRDefault="00B81181" w:rsidP="006232D8">
      <w:pPr>
        <w:pStyle w:val="Paragraphedeliste"/>
        <w:numPr>
          <w:ilvl w:val="0"/>
          <w:numId w:val="18"/>
        </w:numPr>
        <w:jc w:val="both"/>
        <w:rPr>
          <w:rFonts w:ascii="Segoe UI" w:eastAsia="Calibri" w:hAnsi="Segoe UI" w:cs="Segoe UI"/>
          <w:sz w:val="20"/>
          <w:szCs w:val="20"/>
        </w:rPr>
      </w:pPr>
      <w:r w:rsidRPr="00CA0BAB">
        <w:rPr>
          <w:rFonts w:ascii="Segoe UI" w:hAnsi="Segoe UI" w:cs="Segoe UI"/>
          <w:b/>
          <w:color w:val="0070C0"/>
          <w:sz w:val="20"/>
          <w:szCs w:val="20"/>
          <w:u w:val="single"/>
        </w:rPr>
        <w:t>BLEU CLAIR</w:t>
      </w:r>
      <w:r w:rsidR="00454ADF">
        <w:rPr>
          <w:rFonts w:ascii="Segoe UI" w:hAnsi="Segoe UI" w:cs="Segoe UI"/>
          <w:color w:val="0070C0"/>
          <w:sz w:val="20"/>
          <w:szCs w:val="20"/>
        </w:rPr>
        <w:t> </w:t>
      </w:r>
      <w:r w:rsidR="00454ADF">
        <w:rPr>
          <w:rFonts w:ascii="Segoe UI" w:hAnsi="Segoe UI" w:cs="Segoe UI"/>
          <w:sz w:val="20"/>
          <w:szCs w:val="20"/>
        </w:rPr>
        <w:t>: s</w:t>
      </w:r>
      <w:r w:rsidR="00FA60C0" w:rsidRPr="00CA0BAB">
        <w:rPr>
          <w:rFonts w:ascii="Segoe UI" w:hAnsi="Segoe UI" w:cs="Segoe UI"/>
          <w:sz w:val="20"/>
          <w:szCs w:val="20"/>
        </w:rPr>
        <w:t xml:space="preserve">ervices établis et </w:t>
      </w:r>
      <w:r w:rsidR="00AF41CD" w:rsidRPr="00CA0BAB">
        <w:rPr>
          <w:rFonts w:ascii="Segoe UI" w:hAnsi="Segoe UI" w:cs="Segoe UI"/>
          <w:sz w:val="20"/>
          <w:szCs w:val="20"/>
        </w:rPr>
        <w:t xml:space="preserve">destinés à une audience en </w:t>
      </w:r>
      <w:r w:rsidR="006232D8" w:rsidRPr="00CA0BAB">
        <w:rPr>
          <w:rFonts w:ascii="Segoe UI" w:hAnsi="Segoe UI" w:cs="Segoe UI"/>
          <w:sz w:val="20"/>
          <w:szCs w:val="20"/>
        </w:rPr>
        <w:t xml:space="preserve">France, non destinés à la FWB, </w:t>
      </w:r>
      <w:r w:rsidR="009F1787" w:rsidRPr="00CA0BAB">
        <w:rPr>
          <w:rFonts w:ascii="Segoe UI" w:hAnsi="Segoe UI" w:cs="Segoe UI"/>
          <w:sz w:val="20"/>
          <w:szCs w:val="20"/>
        </w:rPr>
        <w:t xml:space="preserve"> mais </w:t>
      </w:r>
      <w:r w:rsidR="00781FC2" w:rsidRPr="00CA0BAB">
        <w:rPr>
          <w:rFonts w:ascii="Segoe UI" w:hAnsi="Segoe UI" w:cs="Segoe UI"/>
          <w:sz w:val="20"/>
          <w:szCs w:val="20"/>
        </w:rPr>
        <w:t>débordant la frontière</w:t>
      </w:r>
      <w:r w:rsidR="006232D8" w:rsidRPr="00CA0BAB">
        <w:rPr>
          <w:rFonts w:ascii="Segoe UI" w:hAnsi="Segoe UI" w:cs="Segoe UI"/>
          <w:sz w:val="20"/>
          <w:szCs w:val="20"/>
        </w:rPr>
        <w:t> ;</w:t>
      </w:r>
    </w:p>
    <w:p w:rsidR="006232D8" w:rsidRPr="00CA0BAB" w:rsidRDefault="00B81181" w:rsidP="006232D8">
      <w:pPr>
        <w:pStyle w:val="Paragraphedeliste"/>
        <w:numPr>
          <w:ilvl w:val="0"/>
          <w:numId w:val="18"/>
        </w:numPr>
        <w:jc w:val="both"/>
        <w:rPr>
          <w:rFonts w:ascii="Segoe UI" w:eastAsia="Calibri" w:hAnsi="Segoe UI" w:cs="Segoe UI"/>
          <w:sz w:val="20"/>
          <w:szCs w:val="20"/>
        </w:rPr>
      </w:pPr>
      <w:r w:rsidRPr="00CA0BAB">
        <w:rPr>
          <w:rFonts w:ascii="Segoe UI" w:hAnsi="Segoe UI" w:cs="Segoe UI"/>
          <w:b/>
          <w:color w:val="FFC000"/>
          <w:sz w:val="20"/>
          <w:szCs w:val="20"/>
          <w:u w:val="single"/>
        </w:rPr>
        <w:t>JAUNE</w:t>
      </w:r>
      <w:r w:rsidRPr="00CA0BAB">
        <w:rPr>
          <w:rFonts w:ascii="Segoe UI" w:hAnsi="Segoe UI" w:cs="Segoe UI"/>
          <w:b/>
          <w:color w:val="FFC000"/>
          <w:sz w:val="20"/>
          <w:szCs w:val="20"/>
        </w:rPr>
        <w:t> </w:t>
      </w:r>
      <w:r w:rsidRPr="00CA0BAB">
        <w:rPr>
          <w:rFonts w:ascii="Segoe UI" w:hAnsi="Segoe UI" w:cs="Segoe UI"/>
          <w:sz w:val="20"/>
          <w:szCs w:val="20"/>
        </w:rPr>
        <w:t xml:space="preserve">: </w:t>
      </w:r>
      <w:r w:rsidR="00454ADF">
        <w:rPr>
          <w:rFonts w:ascii="Segoe UI" w:hAnsi="Segoe UI" w:cs="Segoe UI"/>
          <w:sz w:val="20"/>
          <w:szCs w:val="20"/>
        </w:rPr>
        <w:t>s</w:t>
      </w:r>
      <w:r w:rsidR="00FA60C0" w:rsidRPr="00CA0BAB">
        <w:rPr>
          <w:rFonts w:ascii="Segoe UI" w:hAnsi="Segoe UI" w:cs="Segoe UI"/>
          <w:sz w:val="20"/>
          <w:szCs w:val="20"/>
        </w:rPr>
        <w:t>e</w:t>
      </w:r>
      <w:r w:rsidR="002A3782" w:rsidRPr="00CA0BAB">
        <w:rPr>
          <w:rFonts w:ascii="Segoe UI" w:hAnsi="Segoe UI" w:cs="Segoe UI"/>
          <w:sz w:val="20"/>
          <w:szCs w:val="20"/>
        </w:rPr>
        <w:t>rvices destinés spécifique</w:t>
      </w:r>
      <w:r w:rsidR="006232D8" w:rsidRPr="00CA0BAB">
        <w:rPr>
          <w:rFonts w:ascii="Segoe UI" w:hAnsi="Segoe UI" w:cs="Segoe UI"/>
          <w:sz w:val="20"/>
          <w:szCs w:val="20"/>
        </w:rPr>
        <w:t>ment à la FWB</w:t>
      </w:r>
      <w:r w:rsidR="002A3782" w:rsidRPr="00CA0BAB">
        <w:rPr>
          <w:rFonts w:ascii="Segoe UI" w:hAnsi="Segoe UI" w:cs="Segoe UI"/>
          <w:sz w:val="20"/>
          <w:szCs w:val="20"/>
        </w:rPr>
        <w:t>, mais dont l</w:t>
      </w:r>
      <w:r w:rsidR="006232D8" w:rsidRPr="00CA0BAB">
        <w:rPr>
          <w:rFonts w:ascii="Segoe UI" w:hAnsi="Segoe UI" w:cs="Segoe UI"/>
          <w:sz w:val="20"/>
          <w:szCs w:val="20"/>
        </w:rPr>
        <w:t>a juridiction est reconnue par le CSA – et</w:t>
      </w:r>
      <w:r w:rsidR="002A3782" w:rsidRPr="00CA0BAB">
        <w:rPr>
          <w:rFonts w:ascii="Segoe UI" w:hAnsi="Segoe UI" w:cs="Segoe UI"/>
          <w:sz w:val="20"/>
          <w:szCs w:val="20"/>
        </w:rPr>
        <w:t xml:space="preserve"> </w:t>
      </w:r>
      <w:r w:rsidR="009F1787" w:rsidRPr="00CA0BAB">
        <w:rPr>
          <w:rFonts w:ascii="Segoe UI" w:hAnsi="Segoe UI" w:cs="Segoe UI"/>
          <w:sz w:val="20"/>
          <w:szCs w:val="20"/>
        </w:rPr>
        <w:t>rattachée</w:t>
      </w:r>
      <w:r w:rsidR="002A3782" w:rsidRPr="00CA0BAB">
        <w:rPr>
          <w:rFonts w:ascii="Segoe UI" w:hAnsi="Segoe UI" w:cs="Segoe UI"/>
          <w:sz w:val="20"/>
          <w:szCs w:val="20"/>
        </w:rPr>
        <w:t xml:space="preserve"> à  un autre Etat membre. </w:t>
      </w:r>
    </w:p>
    <w:p w:rsidR="006232D8" w:rsidRPr="00CA0BAB" w:rsidRDefault="00B81181" w:rsidP="006232D8">
      <w:pPr>
        <w:pStyle w:val="Paragraphedeliste"/>
        <w:numPr>
          <w:ilvl w:val="0"/>
          <w:numId w:val="18"/>
        </w:numPr>
        <w:jc w:val="both"/>
        <w:rPr>
          <w:rFonts w:ascii="Segoe UI" w:eastAsia="Calibri" w:hAnsi="Segoe UI" w:cs="Segoe UI"/>
          <w:sz w:val="20"/>
          <w:szCs w:val="20"/>
        </w:rPr>
      </w:pPr>
      <w:r w:rsidRPr="00CA0BAB">
        <w:rPr>
          <w:rFonts w:ascii="Segoe UI" w:hAnsi="Segoe UI" w:cs="Segoe UI"/>
          <w:b/>
          <w:color w:val="FF0000"/>
          <w:sz w:val="20"/>
          <w:szCs w:val="20"/>
          <w:u w:val="single"/>
        </w:rPr>
        <w:t>ROUGE</w:t>
      </w:r>
      <w:r w:rsidRPr="00CA0BAB">
        <w:rPr>
          <w:rFonts w:ascii="Segoe UI" w:hAnsi="Segoe UI" w:cs="Segoe UI"/>
          <w:b/>
          <w:color w:val="FF0000"/>
          <w:sz w:val="20"/>
          <w:szCs w:val="20"/>
        </w:rPr>
        <w:t> </w:t>
      </w:r>
      <w:r w:rsidRPr="00CA0BAB">
        <w:rPr>
          <w:rFonts w:ascii="Segoe UI" w:hAnsi="Segoe UI" w:cs="Segoe UI"/>
          <w:sz w:val="20"/>
          <w:szCs w:val="20"/>
        </w:rPr>
        <w:t xml:space="preserve">: </w:t>
      </w:r>
      <w:r w:rsidR="00454ADF">
        <w:rPr>
          <w:rFonts w:ascii="Segoe UI" w:hAnsi="Segoe UI" w:cs="Segoe UI"/>
          <w:sz w:val="20"/>
          <w:szCs w:val="20"/>
        </w:rPr>
        <w:t>s</w:t>
      </w:r>
      <w:r w:rsidR="006232D8" w:rsidRPr="00CA0BAB">
        <w:rPr>
          <w:rFonts w:ascii="Segoe UI" w:hAnsi="Segoe UI" w:cs="Segoe UI"/>
          <w:sz w:val="20"/>
          <w:szCs w:val="20"/>
        </w:rPr>
        <w:t>ervices destinés spécifiquement à la FWB, mais dont la juridiction</w:t>
      </w:r>
      <w:r w:rsidR="00561300" w:rsidRPr="00CA0BAB">
        <w:rPr>
          <w:rFonts w:ascii="Segoe UI" w:hAnsi="Segoe UI" w:cs="Segoe UI"/>
          <w:sz w:val="20"/>
          <w:szCs w:val="20"/>
        </w:rPr>
        <w:t xml:space="preserve"> - </w:t>
      </w:r>
      <w:r w:rsidR="00466FAA" w:rsidRPr="00CA0BAB">
        <w:rPr>
          <w:rFonts w:ascii="Segoe UI" w:hAnsi="Segoe UI" w:cs="Segoe UI"/>
          <w:sz w:val="20"/>
          <w:szCs w:val="20"/>
        </w:rPr>
        <w:t xml:space="preserve"> controversée et contestée par</w:t>
      </w:r>
      <w:r w:rsidR="006232D8" w:rsidRPr="00CA0BAB">
        <w:rPr>
          <w:rFonts w:ascii="Segoe UI" w:hAnsi="Segoe UI" w:cs="Segoe UI"/>
          <w:sz w:val="20"/>
          <w:szCs w:val="20"/>
        </w:rPr>
        <w:t xml:space="preserve"> le CSA – est réputée rattachée à  un autre Etat membre. </w:t>
      </w:r>
    </w:p>
    <w:p w:rsidR="006232D8" w:rsidRPr="00CA0BAB" w:rsidRDefault="006232D8" w:rsidP="00561300">
      <w:pPr>
        <w:ind w:left="360"/>
        <w:jc w:val="both"/>
        <w:rPr>
          <w:rFonts w:ascii="Segoe UI" w:hAnsi="Segoe UI" w:cs="Segoe UI"/>
          <w:sz w:val="20"/>
          <w:szCs w:val="20"/>
        </w:rPr>
      </w:pPr>
      <w:r w:rsidRPr="00CA0BAB">
        <w:rPr>
          <w:rFonts w:ascii="Segoe UI" w:hAnsi="Segoe UI" w:cs="Segoe UI"/>
          <w:sz w:val="20"/>
          <w:szCs w:val="20"/>
        </w:rPr>
        <w:t>C</w:t>
      </w:r>
      <w:r w:rsidR="002A3782" w:rsidRPr="00CA0BAB">
        <w:rPr>
          <w:rFonts w:ascii="Segoe UI" w:hAnsi="Segoe UI" w:cs="Segoe UI"/>
          <w:sz w:val="20"/>
          <w:szCs w:val="20"/>
        </w:rPr>
        <w:t>es</w:t>
      </w:r>
      <w:r w:rsidR="00561300" w:rsidRPr="00CA0BAB">
        <w:rPr>
          <w:rFonts w:ascii="Segoe UI" w:hAnsi="Segoe UI" w:cs="Segoe UI"/>
          <w:sz w:val="20"/>
          <w:szCs w:val="20"/>
        </w:rPr>
        <w:t xml:space="preserve"> deux derniè</w:t>
      </w:r>
      <w:r w:rsidRPr="00CA0BAB">
        <w:rPr>
          <w:rFonts w:ascii="Segoe UI" w:hAnsi="Segoe UI" w:cs="Segoe UI"/>
          <w:sz w:val="20"/>
          <w:szCs w:val="20"/>
        </w:rPr>
        <w:t>r</w:t>
      </w:r>
      <w:r w:rsidR="00561300" w:rsidRPr="00CA0BAB">
        <w:rPr>
          <w:rFonts w:ascii="Segoe UI" w:hAnsi="Segoe UI" w:cs="Segoe UI"/>
          <w:sz w:val="20"/>
          <w:szCs w:val="20"/>
        </w:rPr>
        <w:t>e</w:t>
      </w:r>
      <w:r w:rsidRPr="00CA0BAB">
        <w:rPr>
          <w:rFonts w:ascii="Segoe UI" w:hAnsi="Segoe UI" w:cs="Segoe UI"/>
          <w:sz w:val="20"/>
          <w:szCs w:val="20"/>
        </w:rPr>
        <w:t xml:space="preserve">s </w:t>
      </w:r>
      <w:r w:rsidR="002A3782" w:rsidRPr="00CA0BAB">
        <w:rPr>
          <w:rFonts w:ascii="Segoe UI" w:hAnsi="Segoe UI" w:cs="Segoe UI"/>
          <w:sz w:val="20"/>
          <w:szCs w:val="20"/>
        </w:rPr>
        <w:t xml:space="preserve"> </w:t>
      </w:r>
      <w:r w:rsidR="00561300" w:rsidRPr="00CA0BAB">
        <w:rPr>
          <w:rFonts w:ascii="Segoe UI" w:hAnsi="Segoe UI" w:cs="Segoe UI"/>
          <w:sz w:val="20"/>
          <w:szCs w:val="20"/>
        </w:rPr>
        <w:t xml:space="preserve">catégories de </w:t>
      </w:r>
      <w:r w:rsidR="002A3782" w:rsidRPr="00CA0BAB">
        <w:rPr>
          <w:rFonts w:ascii="Segoe UI" w:hAnsi="Segoe UI" w:cs="Segoe UI"/>
          <w:sz w:val="20"/>
          <w:szCs w:val="20"/>
        </w:rPr>
        <w:t>service</w:t>
      </w:r>
      <w:r w:rsidR="003438D0" w:rsidRPr="00CA0BAB">
        <w:rPr>
          <w:rFonts w:ascii="Segoe UI" w:hAnsi="Segoe UI" w:cs="Segoe UI"/>
          <w:sz w:val="20"/>
          <w:szCs w:val="20"/>
        </w:rPr>
        <w:t>s</w:t>
      </w:r>
      <w:r w:rsidR="003438D0" w:rsidRPr="00CA0BAB">
        <w:rPr>
          <w:rFonts w:ascii="Segoe UI" w:hAnsi="Segoe UI" w:cs="Segoe UI"/>
          <w:b/>
          <w:color w:val="FFC000"/>
          <w:sz w:val="20"/>
          <w:szCs w:val="20"/>
        </w:rPr>
        <w:t xml:space="preserve">  (JAUNE </w:t>
      </w:r>
      <w:r w:rsidR="003438D0" w:rsidRPr="00CA0BAB">
        <w:rPr>
          <w:rFonts w:ascii="Segoe UI" w:hAnsi="Segoe UI" w:cs="Segoe UI"/>
          <w:b/>
          <w:sz w:val="20"/>
          <w:szCs w:val="20"/>
        </w:rPr>
        <w:t>+</w:t>
      </w:r>
      <w:r w:rsidR="003438D0" w:rsidRPr="00CA0BAB">
        <w:rPr>
          <w:rFonts w:ascii="Segoe UI" w:hAnsi="Segoe UI" w:cs="Segoe UI"/>
          <w:b/>
          <w:color w:val="FF0000"/>
          <w:sz w:val="20"/>
          <w:szCs w:val="20"/>
        </w:rPr>
        <w:t xml:space="preserve"> ROUGE</w:t>
      </w:r>
      <w:r w:rsidR="003438D0" w:rsidRPr="00CA0BAB">
        <w:rPr>
          <w:rFonts w:ascii="Segoe UI" w:hAnsi="Segoe UI" w:cs="Segoe UI"/>
          <w:b/>
          <w:color w:val="FF0000"/>
          <w:sz w:val="20"/>
          <w:szCs w:val="20"/>
          <w:u w:val="single"/>
        </w:rPr>
        <w:t>)</w:t>
      </w:r>
      <w:r w:rsidR="003438D0" w:rsidRPr="00CA0BAB">
        <w:rPr>
          <w:rFonts w:ascii="Segoe UI" w:hAnsi="Segoe UI" w:cs="Segoe UI"/>
          <w:sz w:val="20"/>
          <w:szCs w:val="20"/>
        </w:rPr>
        <w:t xml:space="preserve"> </w:t>
      </w:r>
      <w:r w:rsidR="002A3782" w:rsidRPr="00CA0BAB">
        <w:rPr>
          <w:rFonts w:ascii="Segoe UI" w:hAnsi="Segoe UI" w:cs="Segoe UI"/>
          <w:sz w:val="20"/>
          <w:szCs w:val="20"/>
        </w:rPr>
        <w:t xml:space="preserve">  représente</w:t>
      </w:r>
      <w:r w:rsidR="00B81181" w:rsidRPr="00CA0BAB">
        <w:rPr>
          <w:rFonts w:ascii="Segoe UI" w:hAnsi="Segoe UI" w:cs="Segoe UI"/>
          <w:sz w:val="20"/>
          <w:szCs w:val="20"/>
        </w:rPr>
        <w:t>nt 32</w:t>
      </w:r>
      <w:r w:rsidR="008F03B3" w:rsidRPr="00CA0BAB">
        <w:rPr>
          <w:rFonts w:ascii="Segoe UI" w:hAnsi="Segoe UI" w:cs="Segoe UI"/>
          <w:sz w:val="20"/>
          <w:szCs w:val="20"/>
        </w:rPr>
        <w:t>% de l’audience totale globale TV</w:t>
      </w:r>
      <w:r w:rsidR="003438D0" w:rsidRPr="00CA0BAB">
        <w:rPr>
          <w:rFonts w:ascii="Segoe UI" w:hAnsi="Segoe UI" w:cs="Segoe UI"/>
          <w:sz w:val="20"/>
          <w:szCs w:val="20"/>
        </w:rPr>
        <w:t xml:space="preserve"> (graphe gauche)</w:t>
      </w:r>
      <w:r w:rsidR="002A3782" w:rsidRPr="00CA0BAB">
        <w:rPr>
          <w:rFonts w:ascii="Segoe UI" w:hAnsi="Segoe UI" w:cs="Segoe UI"/>
          <w:sz w:val="20"/>
          <w:szCs w:val="20"/>
        </w:rPr>
        <w:t xml:space="preserve">, </w:t>
      </w:r>
      <w:r w:rsidR="00B81181" w:rsidRPr="00CA0BAB">
        <w:rPr>
          <w:rFonts w:ascii="Segoe UI" w:hAnsi="Segoe UI" w:cs="Segoe UI"/>
          <w:sz w:val="20"/>
          <w:szCs w:val="20"/>
        </w:rPr>
        <w:t xml:space="preserve"> 51</w:t>
      </w:r>
      <w:r w:rsidR="008F03B3" w:rsidRPr="00CA0BAB">
        <w:rPr>
          <w:rFonts w:ascii="Segoe UI" w:hAnsi="Segoe UI" w:cs="Segoe UI"/>
          <w:sz w:val="20"/>
          <w:szCs w:val="20"/>
        </w:rPr>
        <w:t>% de l’audience  TV spécifiquement ciblée</w:t>
      </w:r>
      <w:r w:rsidR="00561300" w:rsidRPr="00CA0BAB">
        <w:rPr>
          <w:rFonts w:ascii="Segoe UI" w:hAnsi="Segoe UI" w:cs="Segoe UI"/>
          <w:sz w:val="20"/>
          <w:szCs w:val="20"/>
        </w:rPr>
        <w:t xml:space="preserve"> (graphe centre) et</w:t>
      </w:r>
      <w:r w:rsidR="009E2A4B" w:rsidRPr="00CA0BAB">
        <w:rPr>
          <w:rFonts w:ascii="Segoe UI" w:hAnsi="Segoe UI" w:cs="Segoe UI"/>
          <w:sz w:val="20"/>
          <w:szCs w:val="20"/>
        </w:rPr>
        <w:t xml:space="preserve">, </w:t>
      </w:r>
      <w:r w:rsidR="00561300" w:rsidRPr="00CA0BAB">
        <w:rPr>
          <w:rFonts w:ascii="Segoe UI" w:hAnsi="Segoe UI" w:cs="Segoe UI"/>
          <w:sz w:val="20"/>
          <w:szCs w:val="20"/>
        </w:rPr>
        <w:t>70</w:t>
      </w:r>
      <w:r w:rsidR="002A3782" w:rsidRPr="00CA0BAB">
        <w:rPr>
          <w:rFonts w:ascii="Segoe UI" w:hAnsi="Segoe UI" w:cs="Segoe UI"/>
          <w:sz w:val="20"/>
          <w:szCs w:val="20"/>
        </w:rPr>
        <w:t>% du marché publicitaire</w:t>
      </w:r>
      <w:r w:rsidR="00561300" w:rsidRPr="00CA0BAB">
        <w:rPr>
          <w:rFonts w:ascii="Segoe UI" w:hAnsi="Segoe UI" w:cs="Segoe UI"/>
          <w:sz w:val="20"/>
          <w:szCs w:val="20"/>
        </w:rPr>
        <w:t xml:space="preserve"> (graphe droit)</w:t>
      </w:r>
      <w:r w:rsidR="00454ADF">
        <w:rPr>
          <w:rFonts w:ascii="Segoe UI" w:hAnsi="Segoe UI" w:cs="Segoe UI"/>
          <w:sz w:val="20"/>
          <w:szCs w:val="20"/>
        </w:rPr>
        <w:t>.</w:t>
      </w:r>
    </w:p>
    <w:p w:rsidR="00CA0BAB" w:rsidRDefault="00CA0BAB" w:rsidP="006232D8">
      <w:pPr>
        <w:jc w:val="both"/>
        <w:rPr>
          <w:rFonts w:ascii="Segoe UI" w:hAnsi="Segoe UI" w:cs="Segoe UI"/>
          <w:b/>
          <w:i/>
          <w:u w:val="single"/>
        </w:rPr>
      </w:pPr>
    </w:p>
    <w:p w:rsidR="00CA0BAB" w:rsidRDefault="00CA0BAB" w:rsidP="006232D8">
      <w:pPr>
        <w:jc w:val="both"/>
        <w:rPr>
          <w:rFonts w:ascii="Segoe UI" w:hAnsi="Segoe UI" w:cs="Segoe UI"/>
          <w:b/>
          <w:i/>
          <w:u w:val="single"/>
        </w:rPr>
      </w:pPr>
    </w:p>
    <w:p w:rsidR="00454ADF" w:rsidRDefault="00454ADF" w:rsidP="00CA0BAB">
      <w:pPr>
        <w:spacing w:after="0"/>
        <w:jc w:val="both"/>
        <w:rPr>
          <w:rFonts w:ascii="Segoe UI" w:hAnsi="Segoe UI" w:cs="Segoe UI"/>
          <w:b/>
          <w:i/>
          <w:sz w:val="20"/>
          <w:szCs w:val="20"/>
        </w:rPr>
      </w:pPr>
    </w:p>
    <w:p w:rsidR="00454ADF" w:rsidRDefault="00454ADF" w:rsidP="00CA0BAB">
      <w:pPr>
        <w:spacing w:after="0"/>
        <w:jc w:val="both"/>
        <w:rPr>
          <w:rFonts w:ascii="Segoe UI" w:hAnsi="Segoe UI" w:cs="Segoe UI"/>
          <w:b/>
          <w:i/>
          <w:sz w:val="20"/>
          <w:szCs w:val="20"/>
        </w:rPr>
      </w:pPr>
    </w:p>
    <w:p w:rsidR="00CA0BAB" w:rsidRPr="00B84929" w:rsidRDefault="00CA0BAB" w:rsidP="00CA0BAB">
      <w:pPr>
        <w:spacing w:after="0"/>
        <w:jc w:val="both"/>
        <w:rPr>
          <w:rFonts w:ascii="Segoe UI" w:hAnsi="Segoe UI" w:cs="Segoe UI"/>
          <w:b/>
          <w:i/>
          <w:sz w:val="20"/>
          <w:szCs w:val="20"/>
        </w:rPr>
      </w:pPr>
      <w:r w:rsidRPr="00B84929">
        <w:rPr>
          <w:rFonts w:ascii="Segoe UI" w:hAnsi="Segoe UI" w:cs="Segoe UI"/>
          <w:b/>
          <w:i/>
          <w:sz w:val="20"/>
          <w:szCs w:val="20"/>
        </w:rPr>
        <w:lastRenderedPageBreak/>
        <w:t>Europe : les statistiques du nombre de services TV  ciblant les marchés où ils ne sont pas établis</w:t>
      </w:r>
      <w:r w:rsidR="00454ADF">
        <w:rPr>
          <w:rFonts w:ascii="Segoe UI" w:hAnsi="Segoe UI" w:cs="Segoe UI"/>
          <w:b/>
          <w:i/>
          <w:sz w:val="20"/>
          <w:szCs w:val="20"/>
        </w:rPr>
        <w:t xml:space="preserve"> (source : Observatoire européen de l’audiovisuel)</w:t>
      </w:r>
    </w:p>
    <w:p w:rsidR="00CA0BAB" w:rsidRPr="00B84929" w:rsidRDefault="00CA0BAB" w:rsidP="00CA0BAB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B84929">
        <w:rPr>
          <w:rFonts w:ascii="Segoe UI" w:hAnsi="Segoe UI" w:cs="Segoe UI"/>
          <w:sz w:val="20"/>
          <w:szCs w:val="20"/>
        </w:rPr>
        <w:t>Quelques pays constituent des hubs européens</w:t>
      </w:r>
    </w:p>
    <w:p w:rsidR="00561300" w:rsidRDefault="00561300" w:rsidP="006232D8">
      <w:pPr>
        <w:jc w:val="both"/>
        <w:rPr>
          <w:rFonts w:ascii="Segoe UI" w:hAnsi="Segoe UI" w:cs="Segoe UI"/>
          <w:b/>
          <w:i/>
          <w:u w:val="single"/>
        </w:rPr>
      </w:pPr>
      <w:r>
        <w:rPr>
          <w:rFonts w:ascii="Segoe UI" w:hAnsi="Segoe UI" w:cs="Segoe UI"/>
          <w:b/>
          <w:i/>
          <w:noProof/>
          <w:u w:val="single"/>
          <w:lang w:eastAsia="fr-BE"/>
        </w:rPr>
        <w:drawing>
          <wp:inline distT="0" distB="0" distL="0" distR="0" wp14:anchorId="41865C0C">
            <wp:extent cx="6096635" cy="342963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0BAB" w:rsidRPr="00CA0BAB" w:rsidRDefault="00CA0BAB" w:rsidP="00CA0BAB">
      <w:pPr>
        <w:spacing w:after="0"/>
        <w:jc w:val="both"/>
        <w:rPr>
          <w:rFonts w:ascii="Segoe UI" w:hAnsi="Segoe UI" w:cs="Segoe UI"/>
          <w:b/>
          <w:i/>
          <w:sz w:val="20"/>
          <w:szCs w:val="20"/>
        </w:rPr>
      </w:pPr>
      <w:r w:rsidRPr="00CA0BAB">
        <w:rPr>
          <w:rFonts w:ascii="Segoe UI" w:hAnsi="Segoe UI" w:cs="Segoe UI"/>
          <w:b/>
          <w:i/>
          <w:sz w:val="20"/>
          <w:szCs w:val="20"/>
        </w:rPr>
        <w:t xml:space="preserve">Europe : </w:t>
      </w:r>
      <w:r w:rsidR="00454ADF">
        <w:rPr>
          <w:rFonts w:ascii="Segoe UI" w:hAnsi="Segoe UI" w:cs="Segoe UI"/>
          <w:b/>
          <w:i/>
          <w:sz w:val="20"/>
          <w:szCs w:val="20"/>
        </w:rPr>
        <w:t>Les statistiques</w:t>
      </w:r>
      <w:r w:rsidRPr="00CA0BAB">
        <w:rPr>
          <w:rFonts w:ascii="Segoe UI" w:hAnsi="Segoe UI" w:cs="Segoe UI"/>
          <w:b/>
          <w:i/>
          <w:sz w:val="20"/>
          <w:szCs w:val="20"/>
        </w:rPr>
        <w:t xml:space="preserve"> du nombre de services VOD</w:t>
      </w:r>
      <w:r>
        <w:rPr>
          <w:rFonts w:ascii="Segoe UI" w:hAnsi="Segoe UI" w:cs="Segoe UI"/>
          <w:b/>
          <w:i/>
          <w:sz w:val="20"/>
          <w:szCs w:val="20"/>
        </w:rPr>
        <w:t xml:space="preserve"> </w:t>
      </w:r>
      <w:r w:rsidRPr="00CA0BAB">
        <w:rPr>
          <w:rFonts w:ascii="Segoe UI" w:hAnsi="Segoe UI" w:cs="Segoe UI"/>
          <w:b/>
          <w:i/>
          <w:sz w:val="20"/>
          <w:szCs w:val="20"/>
        </w:rPr>
        <w:t>en UE par pays d’établissement</w:t>
      </w:r>
      <w:r w:rsidR="00454ADF">
        <w:rPr>
          <w:rFonts w:ascii="Segoe UI" w:hAnsi="Segoe UI" w:cs="Segoe UI"/>
          <w:b/>
          <w:i/>
          <w:sz w:val="20"/>
          <w:szCs w:val="20"/>
        </w:rPr>
        <w:t xml:space="preserve"> (source : Observatoire européen de l’audiovisuel)</w:t>
      </w:r>
    </w:p>
    <w:p w:rsidR="00561300" w:rsidRDefault="00CA0BAB" w:rsidP="00500522">
      <w:pPr>
        <w:spacing w:after="0"/>
        <w:jc w:val="both"/>
        <w:rPr>
          <w:rFonts w:ascii="Segoe UI" w:hAnsi="Segoe UI" w:cs="Segoe UI"/>
        </w:rPr>
      </w:pPr>
      <w:r w:rsidRPr="00CA0BAB">
        <w:rPr>
          <w:rFonts w:ascii="Segoe UI" w:hAnsi="Segoe UI" w:cs="Segoe UI"/>
          <w:sz w:val="20"/>
          <w:szCs w:val="20"/>
        </w:rPr>
        <w:t>La proportion des services VOD qui s’adressent à des pays où  ils ne sont pas établis est conséquente. Tout comme les services établis hors de l’UE</w:t>
      </w:r>
    </w:p>
    <w:p w:rsidR="00561300" w:rsidRPr="005301F6" w:rsidRDefault="00561300" w:rsidP="00500522">
      <w:p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fr-BE"/>
        </w:rPr>
        <w:drawing>
          <wp:inline distT="0" distB="0" distL="0" distR="0" wp14:anchorId="7E8EBCA3">
            <wp:extent cx="6705057" cy="3771900"/>
            <wp:effectExtent l="0" t="0" r="63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99" cy="3772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929" w:rsidRDefault="00B84929" w:rsidP="00500522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624A65" w:rsidRDefault="00AB4DD3" w:rsidP="00500522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B84929">
        <w:rPr>
          <w:rFonts w:ascii="Segoe UI" w:hAnsi="Segoe UI" w:cs="Segoe UI"/>
          <w:sz w:val="20"/>
          <w:szCs w:val="20"/>
        </w:rPr>
        <w:t xml:space="preserve">Evidemment, </w:t>
      </w:r>
      <w:r w:rsidR="00624A65" w:rsidRPr="00B84929">
        <w:rPr>
          <w:rFonts w:ascii="Segoe UI" w:hAnsi="Segoe UI" w:cs="Segoe UI"/>
          <w:sz w:val="20"/>
          <w:szCs w:val="20"/>
        </w:rPr>
        <w:t>la comptabilisation d’un nombre de service</w:t>
      </w:r>
      <w:r w:rsidR="00870E2D" w:rsidRPr="00B84929">
        <w:rPr>
          <w:rFonts w:ascii="Segoe UI" w:hAnsi="Segoe UI" w:cs="Segoe UI"/>
          <w:sz w:val="20"/>
          <w:szCs w:val="20"/>
        </w:rPr>
        <w:t>s</w:t>
      </w:r>
      <w:r w:rsidR="00624A65" w:rsidRPr="00B84929">
        <w:rPr>
          <w:rFonts w:ascii="Segoe UI" w:hAnsi="Segoe UI" w:cs="Segoe UI"/>
          <w:sz w:val="20"/>
          <w:szCs w:val="20"/>
        </w:rPr>
        <w:t xml:space="preserve"> ne permet pas d’en évaluer complètement l’impact sur le marché et la concurrence</w:t>
      </w:r>
      <w:r w:rsidR="00E5746D" w:rsidRPr="00B84929">
        <w:rPr>
          <w:rFonts w:ascii="Segoe UI" w:hAnsi="Segoe UI" w:cs="Segoe UI"/>
          <w:sz w:val="20"/>
          <w:szCs w:val="20"/>
        </w:rPr>
        <w:t>. C’est pourquoi</w:t>
      </w:r>
      <w:r w:rsidR="00930997" w:rsidRPr="00B84929">
        <w:rPr>
          <w:rFonts w:ascii="Segoe UI" w:hAnsi="Segoe UI" w:cs="Segoe UI"/>
          <w:sz w:val="20"/>
          <w:szCs w:val="20"/>
        </w:rPr>
        <w:t xml:space="preserve"> nous avons réalisé une première estimation </w:t>
      </w:r>
      <w:r w:rsidR="00454ADF">
        <w:rPr>
          <w:rFonts w:ascii="Segoe UI" w:hAnsi="Segoe UI" w:cs="Segoe UI"/>
          <w:sz w:val="20"/>
          <w:szCs w:val="20"/>
        </w:rPr>
        <w:t>de l’audience de services télévisuels dans quelques pays ciblés</w:t>
      </w:r>
    </w:p>
    <w:p w:rsidR="00B84929" w:rsidRDefault="00B84929" w:rsidP="00500522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B84929" w:rsidRPr="00B84929" w:rsidRDefault="00B84929" w:rsidP="00500522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CA0BAB" w:rsidRDefault="00CA0BAB" w:rsidP="00500522">
      <w:pPr>
        <w:spacing w:after="0"/>
        <w:jc w:val="both"/>
        <w:rPr>
          <w:rFonts w:ascii="Segoe UI" w:hAnsi="Segoe UI" w:cs="Segoe UI"/>
        </w:rPr>
      </w:pPr>
    </w:p>
    <w:p w:rsidR="00CA0BAB" w:rsidRDefault="00CA0BAB" w:rsidP="00CA0BAB">
      <w:pPr>
        <w:spacing w:after="0"/>
        <w:jc w:val="both"/>
        <w:rPr>
          <w:rFonts w:ascii="Segoe UI" w:hAnsi="Segoe UI" w:cs="Segoe UI"/>
          <w:b/>
          <w:i/>
        </w:rPr>
      </w:pPr>
      <w:r w:rsidRPr="00CA0BAB">
        <w:rPr>
          <w:rFonts w:ascii="Segoe UI" w:hAnsi="Segoe UI" w:cs="Segoe UI"/>
          <w:b/>
          <w:i/>
        </w:rPr>
        <w:t>Europe : part d’audience des services TV ciblant certains marchés nationaux (source : estimation CSA.be)</w:t>
      </w:r>
    </w:p>
    <w:p w:rsidR="00454ADF" w:rsidRDefault="00454ADF" w:rsidP="00CA0BAB">
      <w:pPr>
        <w:spacing w:after="0"/>
        <w:jc w:val="both"/>
        <w:rPr>
          <w:rFonts w:ascii="Segoe UI" w:hAnsi="Segoe UI" w:cs="Segoe UI"/>
          <w:b/>
          <w:i/>
        </w:rPr>
      </w:pPr>
    </w:p>
    <w:p w:rsidR="00454ADF" w:rsidRPr="00454ADF" w:rsidRDefault="00454ADF" w:rsidP="00CA0BAB">
      <w:pPr>
        <w:spacing w:after="0"/>
        <w:jc w:val="both"/>
        <w:rPr>
          <w:rFonts w:ascii="Segoe UI" w:hAnsi="Segoe UI" w:cs="Segoe UI"/>
          <w:i/>
        </w:rPr>
      </w:pPr>
      <w:r w:rsidRPr="00454ADF">
        <w:rPr>
          <w:rFonts w:ascii="Segoe UI" w:hAnsi="Segoe UI" w:cs="Segoe UI"/>
          <w:i/>
        </w:rPr>
        <w:t>L’impact en audience est significatif dans plusieurs Etats membres</w:t>
      </w:r>
    </w:p>
    <w:p w:rsidR="00CA0BAB" w:rsidRPr="005301F6" w:rsidRDefault="00CA0BAB" w:rsidP="00500522">
      <w:pPr>
        <w:spacing w:after="0"/>
        <w:jc w:val="both"/>
        <w:rPr>
          <w:rFonts w:ascii="Segoe UI" w:hAnsi="Segoe UI" w:cs="Segoe UI"/>
        </w:rPr>
      </w:pPr>
    </w:p>
    <w:p w:rsidR="00870E2D" w:rsidRPr="005301F6" w:rsidRDefault="00870E2D" w:rsidP="00500522">
      <w:pPr>
        <w:spacing w:after="0"/>
        <w:jc w:val="both"/>
        <w:rPr>
          <w:rFonts w:ascii="Segoe UI" w:hAnsi="Segoe UI" w:cs="Segoe UI"/>
        </w:rPr>
      </w:pPr>
    </w:p>
    <w:p w:rsidR="00AB4DD3" w:rsidRDefault="003438D0" w:rsidP="00CA0BAB">
      <w:pPr>
        <w:spacing w:after="0"/>
        <w:ind w:left="-851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  <w:noProof/>
          <w:lang w:eastAsia="fr-BE"/>
        </w:rPr>
        <w:drawing>
          <wp:inline distT="0" distB="0" distL="0" distR="0" wp14:anchorId="40D28540">
            <wp:extent cx="7172820" cy="4035039"/>
            <wp:effectExtent l="0" t="0" r="9525" b="381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62" cy="4040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1300" w:rsidRDefault="00561300" w:rsidP="00500522">
      <w:pPr>
        <w:spacing w:after="0"/>
        <w:jc w:val="both"/>
        <w:rPr>
          <w:rFonts w:ascii="Segoe UI" w:hAnsi="Segoe UI" w:cs="Segoe UI"/>
          <w:i/>
        </w:rPr>
      </w:pPr>
    </w:p>
    <w:p w:rsidR="00B84929" w:rsidRDefault="00B84929" w:rsidP="0004132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i/>
          <w:sz w:val="20"/>
          <w:szCs w:val="20"/>
        </w:rPr>
      </w:pPr>
    </w:p>
    <w:p w:rsidR="00B84929" w:rsidRDefault="00B84929" w:rsidP="0004132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i/>
          <w:sz w:val="20"/>
          <w:szCs w:val="20"/>
        </w:rPr>
      </w:pPr>
    </w:p>
    <w:p w:rsidR="00B84929" w:rsidRDefault="00B84929" w:rsidP="0004132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i/>
          <w:sz w:val="20"/>
          <w:szCs w:val="20"/>
        </w:rPr>
      </w:pPr>
    </w:p>
    <w:p w:rsidR="00B84929" w:rsidRDefault="00B84929" w:rsidP="0004132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i/>
          <w:sz w:val="20"/>
          <w:szCs w:val="20"/>
        </w:rPr>
      </w:pPr>
    </w:p>
    <w:p w:rsidR="00B84929" w:rsidRDefault="00B84929" w:rsidP="0004132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i/>
          <w:sz w:val="20"/>
          <w:szCs w:val="20"/>
        </w:rPr>
      </w:pPr>
    </w:p>
    <w:p w:rsidR="00B84929" w:rsidRDefault="00B84929" w:rsidP="0004132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i/>
          <w:sz w:val="20"/>
          <w:szCs w:val="20"/>
        </w:rPr>
      </w:pPr>
    </w:p>
    <w:p w:rsidR="00B84929" w:rsidRDefault="00B84929" w:rsidP="0004132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i/>
          <w:sz w:val="20"/>
          <w:szCs w:val="20"/>
        </w:rPr>
      </w:pPr>
    </w:p>
    <w:p w:rsidR="00CA0BAB" w:rsidRDefault="00F53612" w:rsidP="0004132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</w:rPr>
      </w:pPr>
      <w:r w:rsidRPr="00B84929">
        <w:rPr>
          <w:rFonts w:ascii="Segoe UI" w:eastAsia="Times New Roman" w:hAnsi="Segoe UI" w:cs="Segoe UI"/>
          <w:b/>
          <w:i/>
          <w:sz w:val="20"/>
          <w:szCs w:val="20"/>
        </w:rPr>
        <w:t>Si la</w:t>
      </w:r>
      <w:r w:rsidR="0025569C" w:rsidRPr="00B84929">
        <w:rPr>
          <w:rFonts w:ascii="Segoe UI" w:eastAsia="Times New Roman" w:hAnsi="Segoe UI" w:cs="Segoe UI"/>
          <w:b/>
          <w:i/>
          <w:sz w:val="20"/>
          <w:szCs w:val="20"/>
        </w:rPr>
        <w:t xml:space="preserve"> présence</w:t>
      </w:r>
      <w:r w:rsidR="00023375" w:rsidRPr="00B84929">
        <w:rPr>
          <w:rFonts w:ascii="Segoe UI" w:eastAsia="Times New Roman" w:hAnsi="Segoe UI" w:cs="Segoe UI"/>
          <w:b/>
          <w:i/>
          <w:sz w:val="20"/>
          <w:szCs w:val="20"/>
        </w:rPr>
        <w:t xml:space="preserve"> </w:t>
      </w:r>
      <w:r w:rsidR="0025569C" w:rsidRPr="00B84929">
        <w:rPr>
          <w:rFonts w:ascii="Segoe UI" w:eastAsia="Times New Roman" w:hAnsi="Segoe UI" w:cs="Segoe UI"/>
          <w:b/>
          <w:i/>
          <w:sz w:val="20"/>
          <w:szCs w:val="20"/>
        </w:rPr>
        <w:t xml:space="preserve"> sur le marché</w:t>
      </w:r>
      <w:r w:rsidR="00023375" w:rsidRPr="00B84929">
        <w:rPr>
          <w:rFonts w:ascii="Segoe UI" w:eastAsia="Times New Roman" w:hAnsi="Segoe UI" w:cs="Segoe UI"/>
          <w:b/>
          <w:i/>
          <w:sz w:val="20"/>
          <w:szCs w:val="20"/>
        </w:rPr>
        <w:t xml:space="preserve"> </w:t>
      </w:r>
      <w:r w:rsidRPr="00B84929">
        <w:rPr>
          <w:rFonts w:ascii="Segoe UI" w:eastAsia="Times New Roman" w:hAnsi="Segoe UI" w:cs="Segoe UI"/>
          <w:b/>
          <w:i/>
          <w:sz w:val="20"/>
          <w:szCs w:val="20"/>
        </w:rPr>
        <w:t>d’un EM</w:t>
      </w:r>
      <w:r w:rsidR="0025569C" w:rsidRPr="00B84929">
        <w:rPr>
          <w:rFonts w:ascii="Segoe UI" w:eastAsia="Times New Roman" w:hAnsi="Segoe UI" w:cs="Segoe UI"/>
          <w:b/>
          <w:i/>
          <w:sz w:val="20"/>
          <w:szCs w:val="20"/>
        </w:rPr>
        <w:t xml:space="preserve"> </w:t>
      </w:r>
      <w:r w:rsidRPr="00B84929">
        <w:rPr>
          <w:rFonts w:ascii="Segoe UI" w:eastAsia="Times New Roman" w:hAnsi="Segoe UI" w:cs="Segoe UI"/>
          <w:b/>
          <w:i/>
          <w:sz w:val="20"/>
          <w:szCs w:val="20"/>
        </w:rPr>
        <w:t xml:space="preserve">d’un service </w:t>
      </w:r>
      <w:r w:rsidR="006B4BC7" w:rsidRPr="00B84929">
        <w:rPr>
          <w:rFonts w:ascii="Segoe UI" w:eastAsia="Times New Roman" w:hAnsi="Segoe UI" w:cs="Segoe UI"/>
          <w:b/>
          <w:i/>
          <w:sz w:val="20"/>
          <w:szCs w:val="20"/>
        </w:rPr>
        <w:t xml:space="preserve">qui </w:t>
      </w:r>
      <w:r w:rsidRPr="00B84929">
        <w:rPr>
          <w:rFonts w:ascii="Segoe UI" w:eastAsia="Times New Roman" w:hAnsi="Segoe UI" w:cs="Segoe UI"/>
          <w:b/>
          <w:i/>
          <w:sz w:val="20"/>
          <w:szCs w:val="20"/>
        </w:rPr>
        <w:t>le cible n’est pas contestable en soit – et est conforme à la libre circulatio</w:t>
      </w:r>
      <w:r w:rsidR="0075675B" w:rsidRPr="00B84929">
        <w:rPr>
          <w:rFonts w:ascii="Segoe UI" w:eastAsia="Times New Roman" w:hAnsi="Segoe UI" w:cs="Segoe UI"/>
          <w:b/>
          <w:i/>
          <w:sz w:val="20"/>
          <w:szCs w:val="20"/>
        </w:rPr>
        <w:t xml:space="preserve">n des services - </w:t>
      </w:r>
      <w:r w:rsidR="00023375" w:rsidRPr="00B84929">
        <w:rPr>
          <w:rFonts w:ascii="Segoe UI" w:eastAsia="Times New Roman" w:hAnsi="Segoe UI" w:cs="Segoe UI"/>
          <w:b/>
          <w:i/>
          <w:sz w:val="20"/>
          <w:szCs w:val="20"/>
        </w:rPr>
        <w:t>une</w:t>
      </w:r>
      <w:r w:rsidRPr="00B84929">
        <w:rPr>
          <w:rFonts w:ascii="Segoe UI" w:eastAsia="Times New Roman" w:hAnsi="Segoe UI" w:cs="Segoe UI"/>
          <w:b/>
          <w:i/>
          <w:sz w:val="20"/>
          <w:szCs w:val="20"/>
        </w:rPr>
        <w:t xml:space="preserve"> </w:t>
      </w:r>
      <w:r w:rsidR="00870E2D" w:rsidRPr="00B84929">
        <w:rPr>
          <w:rFonts w:ascii="Segoe UI" w:eastAsia="Times New Roman" w:hAnsi="Segoe UI" w:cs="Segoe UI"/>
          <w:b/>
          <w:i/>
          <w:sz w:val="20"/>
          <w:szCs w:val="20"/>
        </w:rPr>
        <w:t>absence d’</w:t>
      </w:r>
      <w:r w:rsidRPr="00B84929">
        <w:rPr>
          <w:rFonts w:ascii="Segoe UI" w:eastAsia="Times New Roman" w:hAnsi="Segoe UI" w:cs="Segoe UI"/>
          <w:b/>
          <w:i/>
          <w:sz w:val="20"/>
          <w:szCs w:val="20"/>
        </w:rPr>
        <w:t>égalité de traitement entre les</w:t>
      </w:r>
      <w:r w:rsidR="00B84929">
        <w:rPr>
          <w:rFonts w:ascii="Segoe UI" w:eastAsia="Times New Roman" w:hAnsi="Segoe UI" w:cs="Segoe UI"/>
          <w:b/>
          <w:i/>
          <w:sz w:val="20"/>
          <w:szCs w:val="20"/>
        </w:rPr>
        <w:t xml:space="preserve"> </w:t>
      </w:r>
      <w:r w:rsidRPr="00B84929">
        <w:rPr>
          <w:rFonts w:ascii="Segoe UI" w:eastAsia="Times New Roman" w:hAnsi="Segoe UI" w:cs="Segoe UI"/>
          <w:b/>
          <w:i/>
          <w:sz w:val="20"/>
          <w:szCs w:val="20"/>
        </w:rPr>
        <w:t>services</w:t>
      </w:r>
      <w:r w:rsidR="00023375" w:rsidRPr="00B84929">
        <w:rPr>
          <w:rFonts w:ascii="Segoe UI" w:eastAsia="Times New Roman" w:hAnsi="Segoe UI" w:cs="Segoe UI"/>
          <w:b/>
          <w:i/>
          <w:sz w:val="20"/>
          <w:szCs w:val="20"/>
        </w:rPr>
        <w:t xml:space="preserve"> sur ce</w:t>
      </w:r>
      <w:r w:rsidR="00870E2D" w:rsidRPr="00B84929">
        <w:rPr>
          <w:rFonts w:ascii="Segoe UI" w:eastAsia="Times New Roman" w:hAnsi="Segoe UI" w:cs="Segoe UI"/>
          <w:b/>
          <w:i/>
          <w:sz w:val="20"/>
          <w:szCs w:val="20"/>
        </w:rPr>
        <w:t xml:space="preserve"> même marché, suivant qu’ils y soient établis ou non</w:t>
      </w:r>
      <w:r w:rsidR="003438D0" w:rsidRPr="00B84929">
        <w:rPr>
          <w:rFonts w:ascii="Segoe UI" w:eastAsia="Times New Roman" w:hAnsi="Segoe UI" w:cs="Segoe UI"/>
          <w:b/>
          <w:i/>
          <w:sz w:val="20"/>
          <w:szCs w:val="20"/>
        </w:rPr>
        <w:t xml:space="preserve"> sur ce marché</w:t>
      </w:r>
      <w:r w:rsidR="0075675B" w:rsidRPr="00B84929">
        <w:rPr>
          <w:rFonts w:ascii="Segoe UI" w:eastAsia="Times New Roman" w:hAnsi="Segoe UI" w:cs="Segoe UI"/>
          <w:b/>
          <w:i/>
          <w:sz w:val="20"/>
          <w:szCs w:val="20"/>
        </w:rPr>
        <w:t xml:space="preserve">, </w:t>
      </w:r>
      <w:r w:rsidRPr="00B84929">
        <w:rPr>
          <w:rFonts w:ascii="Segoe UI" w:eastAsia="Times New Roman" w:hAnsi="Segoe UI" w:cs="Segoe UI"/>
          <w:b/>
          <w:i/>
          <w:sz w:val="20"/>
          <w:szCs w:val="20"/>
        </w:rPr>
        <w:t xml:space="preserve"> est par contre une situation problématique </w:t>
      </w:r>
    </w:p>
    <w:p w:rsidR="00CA0BAB" w:rsidRDefault="00CA0BAB" w:rsidP="0004132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</w:rPr>
      </w:pPr>
    </w:p>
    <w:p w:rsidR="00CA0BAB" w:rsidRDefault="00CA0BAB" w:rsidP="0004132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</w:rPr>
      </w:pPr>
      <w:r>
        <w:rPr>
          <w:rFonts w:ascii="Segoe UI" w:eastAsia="Times New Roman" w:hAnsi="Segoe UI" w:cs="Segoe UI"/>
          <w:b/>
        </w:rPr>
        <w:t>L’IMPACT</w:t>
      </w:r>
    </w:p>
    <w:p w:rsidR="00B84929" w:rsidRDefault="00B84929" w:rsidP="0004132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</w:rPr>
      </w:pPr>
    </w:p>
    <w:p w:rsidR="00CA0BAB" w:rsidRDefault="00CA0BAB" w:rsidP="0004132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</w:rPr>
      </w:pPr>
    </w:p>
    <w:p w:rsidR="00561300" w:rsidRPr="005301F6" w:rsidRDefault="00561300" w:rsidP="0004132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</w:rPr>
      </w:pPr>
      <w:r>
        <w:rPr>
          <w:rFonts w:ascii="Segoe UI" w:eastAsia="Times New Roman" w:hAnsi="Segoe UI" w:cs="Segoe UI"/>
          <w:b/>
          <w:noProof/>
          <w:lang w:eastAsia="fr-BE"/>
        </w:rPr>
        <w:drawing>
          <wp:inline distT="0" distB="0" distL="0" distR="0" wp14:anchorId="1955CAF9">
            <wp:extent cx="6096635" cy="342963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266F" w:rsidRPr="005301F6" w:rsidRDefault="0096266F" w:rsidP="0004132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</w:rPr>
      </w:pPr>
    </w:p>
    <w:p w:rsidR="009823EC" w:rsidRPr="00CA0BAB" w:rsidRDefault="00CA0BAB" w:rsidP="0004132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i/>
          <w:sz w:val="20"/>
          <w:szCs w:val="20"/>
        </w:rPr>
      </w:pPr>
      <w:r>
        <w:rPr>
          <w:rFonts w:ascii="Segoe UI" w:eastAsia="Times New Roman" w:hAnsi="Segoe UI" w:cs="Segoe UI"/>
          <w:b/>
          <w:i/>
          <w:sz w:val="20"/>
          <w:szCs w:val="20"/>
        </w:rPr>
        <w:t>En</w:t>
      </w:r>
      <w:r w:rsidR="0096266F" w:rsidRPr="00CA0BAB">
        <w:rPr>
          <w:rFonts w:ascii="Segoe UI" w:eastAsia="Times New Roman" w:hAnsi="Segoe UI" w:cs="Segoe UI"/>
          <w:b/>
          <w:i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b/>
          <w:i/>
          <w:sz w:val="20"/>
          <w:szCs w:val="20"/>
        </w:rPr>
        <w:t>Belgique - FWB</w:t>
      </w:r>
      <w:r w:rsidR="00F01FA5" w:rsidRPr="00CA0BAB">
        <w:rPr>
          <w:rFonts w:ascii="Segoe UI" w:eastAsia="Times New Roman" w:hAnsi="Segoe UI" w:cs="Segoe UI"/>
          <w:b/>
          <w:i/>
          <w:sz w:val="20"/>
          <w:szCs w:val="20"/>
        </w:rPr>
        <w:t xml:space="preserve"> </w:t>
      </w:r>
    </w:p>
    <w:p w:rsidR="00500522" w:rsidRPr="00CA0BAB" w:rsidRDefault="00624A65" w:rsidP="0004132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CA0BAB">
        <w:rPr>
          <w:rFonts w:ascii="Segoe UI" w:hAnsi="Segoe UI" w:cs="Segoe UI"/>
          <w:sz w:val="20"/>
          <w:szCs w:val="20"/>
        </w:rPr>
        <w:t>Le CSA réalise ponctuellement des monitoring</w:t>
      </w:r>
      <w:r w:rsidR="004B74A0" w:rsidRPr="00CA0BAB">
        <w:rPr>
          <w:rFonts w:ascii="Segoe UI" w:hAnsi="Segoe UI" w:cs="Segoe UI"/>
          <w:sz w:val="20"/>
          <w:szCs w:val="20"/>
        </w:rPr>
        <w:t>s</w:t>
      </w:r>
    </w:p>
    <w:p w:rsidR="0027662E" w:rsidRPr="00CA0BAB" w:rsidRDefault="0025569C" w:rsidP="0004132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CA0BAB">
        <w:rPr>
          <w:rFonts w:ascii="Segoe UI" w:hAnsi="Segoe UI" w:cs="Segoe UI"/>
          <w:sz w:val="20"/>
          <w:szCs w:val="20"/>
        </w:rPr>
        <w:t>Celui réalisé en juin 2</w:t>
      </w:r>
      <w:r w:rsidR="0075675B" w:rsidRPr="00CA0BAB">
        <w:rPr>
          <w:rFonts w:ascii="Segoe UI" w:hAnsi="Segoe UI" w:cs="Segoe UI"/>
          <w:sz w:val="20"/>
          <w:szCs w:val="20"/>
        </w:rPr>
        <w:t>015 puis reconfirmé</w:t>
      </w:r>
      <w:r w:rsidR="00624A65" w:rsidRPr="00CA0BAB">
        <w:rPr>
          <w:rFonts w:ascii="Segoe UI" w:hAnsi="Segoe UI" w:cs="Segoe UI"/>
          <w:sz w:val="20"/>
          <w:szCs w:val="20"/>
        </w:rPr>
        <w:t xml:space="preserve"> en mars 2016</w:t>
      </w:r>
      <w:r w:rsidR="00023375" w:rsidRPr="00CA0BAB">
        <w:rPr>
          <w:rFonts w:ascii="Segoe UI" w:hAnsi="Segoe UI" w:cs="Segoe UI"/>
          <w:sz w:val="20"/>
          <w:szCs w:val="20"/>
        </w:rPr>
        <w:t xml:space="preserve"> montre </w:t>
      </w:r>
      <w:r w:rsidR="004B74A0" w:rsidRPr="00CA0BAB">
        <w:rPr>
          <w:rFonts w:ascii="Segoe UI" w:hAnsi="Segoe UI" w:cs="Segoe UI"/>
          <w:sz w:val="20"/>
          <w:szCs w:val="20"/>
        </w:rPr>
        <w:t>qu’en ce qui concerne les services ciblant le territoire de la FWB,  sans y être établi :</w:t>
      </w:r>
    </w:p>
    <w:p w:rsidR="0025569C" w:rsidRPr="00CA0BAB" w:rsidRDefault="0025569C" w:rsidP="0025569C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hAnsi="Segoe UI" w:cs="Segoe UI"/>
          <w:sz w:val="20"/>
          <w:szCs w:val="20"/>
        </w:rPr>
        <w:t xml:space="preserve">Certains  services ne respectent pas la directive européenne en matière de : placement de produit, spots isolés, téléachat, protection des mineurs, accessibilité ; </w:t>
      </w:r>
    </w:p>
    <w:p w:rsidR="0096266F" w:rsidRPr="00CA0BAB" w:rsidRDefault="00930997" w:rsidP="0025569C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hAnsi="Segoe UI" w:cs="Segoe UI"/>
          <w:sz w:val="20"/>
          <w:szCs w:val="20"/>
        </w:rPr>
        <w:t>Un nombre plus important</w:t>
      </w:r>
      <w:r w:rsidR="004B74A0" w:rsidRPr="00CA0BAB">
        <w:rPr>
          <w:rFonts w:ascii="Segoe UI" w:hAnsi="Segoe UI" w:cs="Segoe UI"/>
          <w:sz w:val="20"/>
          <w:szCs w:val="20"/>
        </w:rPr>
        <w:t xml:space="preserve"> – en TV comme en VOD - </w:t>
      </w:r>
      <w:r w:rsidRPr="00CA0BAB">
        <w:rPr>
          <w:rFonts w:ascii="Segoe UI" w:hAnsi="Segoe UI" w:cs="Segoe UI"/>
          <w:sz w:val="20"/>
          <w:szCs w:val="20"/>
        </w:rPr>
        <w:t xml:space="preserve"> ne respecte</w:t>
      </w:r>
      <w:r w:rsidR="0025569C" w:rsidRPr="00CA0BAB">
        <w:rPr>
          <w:rFonts w:ascii="Segoe UI" w:hAnsi="Segoe UI" w:cs="Segoe UI"/>
          <w:sz w:val="20"/>
          <w:szCs w:val="20"/>
        </w:rPr>
        <w:t xml:space="preserve"> pas les règles plus strictes de</w:t>
      </w:r>
      <w:r w:rsidRPr="00CA0BAB">
        <w:rPr>
          <w:rFonts w:ascii="Segoe UI" w:hAnsi="Segoe UI" w:cs="Segoe UI"/>
          <w:sz w:val="20"/>
          <w:szCs w:val="20"/>
        </w:rPr>
        <w:t xml:space="preserve"> la Fédération Wallonie Bruxelles</w:t>
      </w:r>
      <w:r w:rsidR="0025569C" w:rsidRPr="00CA0BAB">
        <w:rPr>
          <w:rFonts w:ascii="Segoe UI" w:hAnsi="Segoe UI" w:cs="Segoe UI"/>
          <w:sz w:val="20"/>
          <w:szCs w:val="20"/>
        </w:rPr>
        <w:t xml:space="preserve"> en matière de : publicité dans les programmes pour enfants, règles de séparation publicitaire, contribution à la production, quotas d’œuvres européennes, protection des mineurs</w:t>
      </w:r>
      <w:r w:rsidR="00870E2D" w:rsidRPr="00CA0BAB">
        <w:rPr>
          <w:rFonts w:ascii="Segoe UI" w:hAnsi="Segoe UI" w:cs="Segoe UI"/>
          <w:sz w:val="20"/>
          <w:szCs w:val="20"/>
        </w:rPr>
        <w:t xml:space="preserve">. </w:t>
      </w:r>
    </w:p>
    <w:p w:rsidR="0025569C" w:rsidRPr="00CA0BAB" w:rsidRDefault="0025569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</w:p>
    <w:p w:rsidR="006B4BC7" w:rsidRPr="00CA0BAB" w:rsidRDefault="00CA0BA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b/>
          <w:i/>
          <w:sz w:val="20"/>
          <w:szCs w:val="20"/>
        </w:rPr>
        <w:t>En Europe</w:t>
      </w:r>
    </w:p>
    <w:p w:rsidR="0027662E" w:rsidRPr="00CA0BAB" w:rsidRDefault="00930997" w:rsidP="0027662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eastAsia="Times New Roman" w:hAnsi="Segoe UI" w:cs="Segoe UI"/>
          <w:sz w:val="20"/>
          <w:szCs w:val="20"/>
        </w:rPr>
        <w:t xml:space="preserve">Dans différents </w:t>
      </w:r>
      <w:r w:rsidR="00454ADF">
        <w:rPr>
          <w:rFonts w:ascii="Segoe UI" w:eastAsia="Times New Roman" w:hAnsi="Segoe UI" w:cs="Segoe UI"/>
          <w:sz w:val="20"/>
          <w:szCs w:val="20"/>
        </w:rPr>
        <w:t xml:space="preserve">autres </w:t>
      </w:r>
      <w:r w:rsidRPr="00CA0BAB">
        <w:rPr>
          <w:rFonts w:ascii="Segoe UI" w:eastAsia="Times New Roman" w:hAnsi="Segoe UI" w:cs="Segoe UI"/>
          <w:sz w:val="20"/>
          <w:szCs w:val="20"/>
        </w:rPr>
        <w:t>pays</w:t>
      </w:r>
      <w:r w:rsidR="00454ADF">
        <w:rPr>
          <w:rFonts w:ascii="Segoe UI" w:eastAsia="Times New Roman" w:hAnsi="Segoe UI" w:cs="Segoe UI"/>
          <w:sz w:val="20"/>
          <w:szCs w:val="20"/>
        </w:rPr>
        <w:t xml:space="preserve"> européens, l</w:t>
      </w:r>
      <w:r w:rsidR="00CD312D" w:rsidRPr="00CA0BAB">
        <w:rPr>
          <w:rFonts w:ascii="Segoe UI" w:eastAsia="Times New Roman" w:hAnsi="Segoe UI" w:cs="Segoe UI"/>
          <w:sz w:val="20"/>
          <w:szCs w:val="20"/>
        </w:rPr>
        <w:t xml:space="preserve">e contournement de règles affecte principalement la </w:t>
      </w:r>
      <w:r w:rsidR="00CD312D" w:rsidRPr="00CA0BAB">
        <w:rPr>
          <w:rFonts w:ascii="Segoe UI" w:eastAsia="Times New Roman" w:hAnsi="Segoe UI" w:cs="Segoe UI"/>
          <w:sz w:val="20"/>
          <w:szCs w:val="20"/>
          <w:u w:val="single"/>
        </w:rPr>
        <w:t>protection du consommateur</w:t>
      </w:r>
      <w:r w:rsidR="0027662E" w:rsidRPr="00CA0BAB">
        <w:rPr>
          <w:rFonts w:ascii="Segoe UI" w:eastAsia="Times New Roman" w:hAnsi="Segoe UI" w:cs="Segoe UI"/>
          <w:sz w:val="20"/>
          <w:szCs w:val="20"/>
        </w:rPr>
        <w:t xml:space="preserve">, lorsque les </w:t>
      </w:r>
      <w:r w:rsidR="00CD312D" w:rsidRPr="00CA0BAB">
        <w:rPr>
          <w:rFonts w:ascii="Segoe UI" w:eastAsia="Times New Roman" w:hAnsi="Segoe UI" w:cs="Segoe UI"/>
          <w:sz w:val="20"/>
          <w:szCs w:val="20"/>
        </w:rPr>
        <w:t xml:space="preserve"> standards sont appliqués de manière différen</w:t>
      </w:r>
      <w:r w:rsidR="005243B6" w:rsidRPr="00CA0BAB">
        <w:rPr>
          <w:rFonts w:ascii="Segoe UI" w:eastAsia="Times New Roman" w:hAnsi="Segoe UI" w:cs="Segoe UI"/>
          <w:sz w:val="20"/>
          <w:szCs w:val="20"/>
        </w:rPr>
        <w:t>te</w:t>
      </w:r>
      <w:r w:rsidR="004B74A0" w:rsidRPr="00CA0BAB">
        <w:rPr>
          <w:rFonts w:ascii="Segoe UI" w:eastAsia="Times New Roman" w:hAnsi="Segoe UI" w:cs="Segoe UI"/>
          <w:sz w:val="20"/>
          <w:szCs w:val="20"/>
        </w:rPr>
        <w:t>, par ex</w:t>
      </w:r>
      <w:r w:rsidR="00CA0BAB" w:rsidRPr="00CA0BAB">
        <w:rPr>
          <w:rFonts w:ascii="Segoe UI" w:eastAsia="Times New Roman" w:hAnsi="Segoe UI" w:cs="Segoe UI"/>
          <w:sz w:val="20"/>
          <w:szCs w:val="20"/>
        </w:rPr>
        <w:t>e</w:t>
      </w:r>
      <w:r w:rsidR="004B74A0" w:rsidRPr="00CA0BAB">
        <w:rPr>
          <w:rFonts w:ascii="Segoe UI" w:eastAsia="Times New Roman" w:hAnsi="Segoe UI" w:cs="Segoe UI"/>
          <w:sz w:val="20"/>
          <w:szCs w:val="20"/>
        </w:rPr>
        <w:t xml:space="preserve">mple : </w:t>
      </w:r>
    </w:p>
    <w:p w:rsidR="0027662E" w:rsidRPr="00CA0BAB" w:rsidRDefault="00CD312D" w:rsidP="0027662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eastAsia="Times New Roman" w:hAnsi="Segoe UI" w:cs="Segoe UI"/>
          <w:sz w:val="20"/>
          <w:szCs w:val="20"/>
        </w:rPr>
        <w:t>dans la protection des mineurs (interdiction de publicité dans les programmes pour enfants, de la présence de mineurs dans la publicité)</w:t>
      </w:r>
      <w:r w:rsidR="00454ADF">
        <w:rPr>
          <w:rFonts w:ascii="Segoe UI" w:eastAsia="Times New Roman" w:hAnsi="Segoe UI" w:cs="Segoe UI"/>
          <w:sz w:val="20"/>
          <w:szCs w:val="20"/>
        </w:rPr>
        <w:t> ;</w:t>
      </w:r>
    </w:p>
    <w:p w:rsidR="0027662E" w:rsidRPr="00CA0BAB" w:rsidRDefault="00CD312D" w:rsidP="0027662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eastAsia="Times New Roman" w:hAnsi="Segoe UI" w:cs="Segoe UI"/>
          <w:sz w:val="20"/>
          <w:szCs w:val="20"/>
        </w:rPr>
        <w:t>dans la commu</w:t>
      </w:r>
      <w:r w:rsidR="005243B6" w:rsidRPr="00CA0BAB">
        <w:rPr>
          <w:rFonts w:ascii="Segoe UI" w:eastAsia="Times New Roman" w:hAnsi="Segoe UI" w:cs="Segoe UI"/>
          <w:sz w:val="20"/>
          <w:szCs w:val="20"/>
        </w:rPr>
        <w:t>nication commerciale (alcool, mé</w:t>
      </w:r>
      <w:r w:rsidRPr="00CA0BAB">
        <w:rPr>
          <w:rFonts w:ascii="Segoe UI" w:eastAsia="Times New Roman" w:hAnsi="Segoe UI" w:cs="Segoe UI"/>
          <w:sz w:val="20"/>
          <w:szCs w:val="20"/>
        </w:rPr>
        <w:t>dicament, placement de produit)</w:t>
      </w:r>
      <w:r w:rsidR="00454ADF">
        <w:rPr>
          <w:rFonts w:ascii="Segoe UI" w:eastAsia="Times New Roman" w:hAnsi="Segoe UI" w:cs="Segoe UI"/>
          <w:sz w:val="20"/>
          <w:szCs w:val="20"/>
        </w:rPr>
        <w:t> ;</w:t>
      </w:r>
    </w:p>
    <w:p w:rsidR="0027662E" w:rsidRPr="00CA0BAB" w:rsidRDefault="00CD312D" w:rsidP="0027662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eastAsia="Times New Roman" w:hAnsi="Segoe UI" w:cs="Segoe UI"/>
          <w:sz w:val="20"/>
          <w:szCs w:val="20"/>
        </w:rPr>
        <w:t>ou en matière de diversité culturelle (quotas européens et linguistique).</w:t>
      </w:r>
    </w:p>
    <w:p w:rsidR="00CD312D" w:rsidRPr="00CA0BAB" w:rsidRDefault="00CD312D" w:rsidP="0027662E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eastAsia="Times New Roman" w:hAnsi="Segoe UI" w:cs="Segoe UI"/>
          <w:sz w:val="20"/>
          <w:szCs w:val="20"/>
        </w:rPr>
        <w:t xml:space="preserve"> </w:t>
      </w:r>
    </w:p>
    <w:p w:rsidR="0027662E" w:rsidRPr="00CA0BAB" w:rsidRDefault="00CD312D" w:rsidP="0027662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eastAsia="Times New Roman" w:hAnsi="Segoe UI" w:cs="Segoe UI"/>
          <w:sz w:val="20"/>
          <w:szCs w:val="20"/>
        </w:rPr>
        <w:t xml:space="preserve">Sur le </w:t>
      </w:r>
      <w:r w:rsidRPr="00CA0BAB">
        <w:rPr>
          <w:rFonts w:ascii="Segoe UI" w:eastAsia="Times New Roman" w:hAnsi="Segoe UI" w:cs="Segoe UI"/>
          <w:sz w:val="20"/>
          <w:szCs w:val="20"/>
          <w:u w:val="single"/>
        </w:rPr>
        <w:t>plan économique</w:t>
      </w:r>
      <w:r w:rsidRPr="00CA0BAB">
        <w:rPr>
          <w:rFonts w:ascii="Segoe UI" w:eastAsia="Times New Roman" w:hAnsi="Segoe UI" w:cs="Segoe UI"/>
          <w:sz w:val="20"/>
          <w:szCs w:val="20"/>
        </w:rPr>
        <w:t xml:space="preserve"> également, plusieurs pay</w:t>
      </w:r>
      <w:r w:rsidR="005243B6" w:rsidRPr="00CA0BAB">
        <w:rPr>
          <w:rFonts w:ascii="Segoe UI" w:eastAsia="Times New Roman" w:hAnsi="Segoe UI" w:cs="Segoe UI"/>
          <w:sz w:val="20"/>
          <w:szCs w:val="20"/>
        </w:rPr>
        <w:t>s témoignent de conséquences né</w:t>
      </w:r>
      <w:r w:rsidRPr="00CA0BAB">
        <w:rPr>
          <w:rFonts w:ascii="Segoe UI" w:eastAsia="Times New Roman" w:hAnsi="Segoe UI" w:cs="Segoe UI"/>
          <w:sz w:val="20"/>
          <w:szCs w:val="20"/>
        </w:rPr>
        <w:t>g</w:t>
      </w:r>
      <w:r w:rsidR="004B74A0" w:rsidRPr="00CA0BAB">
        <w:rPr>
          <w:rFonts w:ascii="Segoe UI" w:eastAsia="Times New Roman" w:hAnsi="Segoe UI" w:cs="Segoe UI"/>
          <w:sz w:val="20"/>
          <w:szCs w:val="20"/>
        </w:rPr>
        <w:t>atives sur leur marché national, lorsque les</w:t>
      </w:r>
      <w:r w:rsidRPr="00CA0BAB">
        <w:rPr>
          <w:rFonts w:ascii="Segoe UI" w:eastAsia="Times New Roman" w:hAnsi="Segoe UI" w:cs="Segoe UI"/>
          <w:sz w:val="20"/>
          <w:szCs w:val="20"/>
        </w:rPr>
        <w:t xml:space="preserve"> mêmes services </w:t>
      </w:r>
      <w:r w:rsidR="0075675B" w:rsidRPr="00CA0BAB">
        <w:rPr>
          <w:rFonts w:ascii="Segoe UI" w:eastAsia="Times New Roman" w:hAnsi="Segoe UI" w:cs="Segoe UI"/>
          <w:sz w:val="20"/>
          <w:szCs w:val="20"/>
        </w:rPr>
        <w:t>ciblant leur territoire</w:t>
      </w:r>
      <w:r w:rsidR="0027662E" w:rsidRPr="00CA0BAB">
        <w:rPr>
          <w:rFonts w:ascii="Segoe UI" w:eastAsia="Times New Roman" w:hAnsi="Segoe UI" w:cs="Segoe UI"/>
          <w:sz w:val="20"/>
          <w:szCs w:val="20"/>
        </w:rPr>
        <w:t xml:space="preserve"> : </w:t>
      </w:r>
    </w:p>
    <w:p w:rsidR="0027662E" w:rsidRPr="00CA0BAB" w:rsidRDefault="005243B6" w:rsidP="0027662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eastAsia="Times New Roman" w:hAnsi="Segoe UI" w:cs="Segoe UI"/>
          <w:sz w:val="20"/>
          <w:szCs w:val="20"/>
        </w:rPr>
        <w:t>ne contribuent pas de maniè</w:t>
      </w:r>
      <w:r w:rsidR="0027662E" w:rsidRPr="00CA0BAB">
        <w:rPr>
          <w:rFonts w:ascii="Segoe UI" w:eastAsia="Times New Roman" w:hAnsi="Segoe UI" w:cs="Segoe UI"/>
          <w:sz w:val="20"/>
          <w:szCs w:val="20"/>
        </w:rPr>
        <w:t>re équivalente</w:t>
      </w:r>
      <w:r w:rsidR="00CD312D" w:rsidRPr="00CA0BAB">
        <w:rPr>
          <w:rFonts w:ascii="Segoe UI" w:eastAsia="Times New Roman" w:hAnsi="Segoe UI" w:cs="Segoe UI"/>
          <w:sz w:val="20"/>
          <w:szCs w:val="20"/>
        </w:rPr>
        <w:t xml:space="preserve"> à la production</w:t>
      </w:r>
      <w:r w:rsidRPr="00CA0BAB">
        <w:rPr>
          <w:rFonts w:ascii="Segoe UI" w:eastAsia="Times New Roman" w:hAnsi="Segoe UI" w:cs="Segoe UI"/>
          <w:sz w:val="20"/>
          <w:szCs w:val="20"/>
        </w:rPr>
        <w:t xml:space="preserve"> de contenus audiovisuels</w:t>
      </w:r>
      <w:r w:rsidR="00454ADF">
        <w:rPr>
          <w:rFonts w:ascii="Segoe UI" w:eastAsia="Times New Roman" w:hAnsi="Segoe UI" w:cs="Segoe UI"/>
          <w:sz w:val="20"/>
          <w:szCs w:val="20"/>
        </w:rPr>
        <w:t> ;</w:t>
      </w:r>
    </w:p>
    <w:p w:rsidR="00CD312D" w:rsidRPr="00CA0BAB" w:rsidRDefault="00CD312D" w:rsidP="0027662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eastAsia="Times New Roman" w:hAnsi="Segoe UI" w:cs="Segoe UI"/>
          <w:sz w:val="20"/>
          <w:szCs w:val="20"/>
        </w:rPr>
        <w:t xml:space="preserve">exploitent des secteurs ou </w:t>
      </w:r>
      <w:r w:rsidR="005243B6" w:rsidRPr="00CA0BAB">
        <w:rPr>
          <w:rFonts w:ascii="Segoe UI" w:eastAsia="Times New Roman" w:hAnsi="Segoe UI" w:cs="Segoe UI"/>
          <w:sz w:val="20"/>
          <w:szCs w:val="20"/>
        </w:rPr>
        <w:t xml:space="preserve">des </w:t>
      </w:r>
      <w:r w:rsidRPr="00CA0BAB">
        <w:rPr>
          <w:rFonts w:ascii="Segoe UI" w:eastAsia="Times New Roman" w:hAnsi="Segoe UI" w:cs="Segoe UI"/>
          <w:sz w:val="20"/>
          <w:szCs w:val="20"/>
        </w:rPr>
        <w:t>pratiques publicitaires</w:t>
      </w:r>
      <w:r w:rsidR="00930997" w:rsidRPr="00CA0BAB">
        <w:rPr>
          <w:rFonts w:ascii="Segoe UI" w:eastAsia="Times New Roman" w:hAnsi="Segoe UI" w:cs="Segoe UI"/>
          <w:sz w:val="20"/>
          <w:szCs w:val="20"/>
        </w:rPr>
        <w:t xml:space="preserve"> qui sont</w:t>
      </w:r>
      <w:r w:rsidRPr="00CA0BAB">
        <w:rPr>
          <w:rFonts w:ascii="Segoe UI" w:eastAsia="Times New Roman" w:hAnsi="Segoe UI" w:cs="Segoe UI"/>
          <w:sz w:val="20"/>
          <w:szCs w:val="20"/>
        </w:rPr>
        <w:t xml:space="preserve"> interdits aux services établis dans le pays de destination</w:t>
      </w:r>
      <w:r w:rsidR="005243B6" w:rsidRPr="00CA0BAB">
        <w:rPr>
          <w:rFonts w:ascii="Segoe UI" w:eastAsia="Times New Roman" w:hAnsi="Segoe UI" w:cs="Segoe UI"/>
          <w:sz w:val="20"/>
          <w:szCs w:val="20"/>
        </w:rPr>
        <w:t>.</w:t>
      </w:r>
    </w:p>
    <w:p w:rsidR="0096266F" w:rsidRPr="005301F6" w:rsidRDefault="0096266F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</w:rPr>
      </w:pPr>
    </w:p>
    <w:p w:rsidR="0096266F" w:rsidRPr="005301F6" w:rsidRDefault="0096266F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</w:rPr>
      </w:pPr>
    </w:p>
    <w:p w:rsidR="005D61F7" w:rsidRDefault="0096266F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</w:rPr>
      </w:pPr>
      <w:r w:rsidRPr="005301F6">
        <w:rPr>
          <w:rFonts w:ascii="Segoe UI" w:eastAsia="Times New Roman" w:hAnsi="Segoe UI" w:cs="Segoe UI"/>
          <w:b/>
        </w:rPr>
        <w:t>L’EVALUATION DU DISPOSITIF</w:t>
      </w:r>
    </w:p>
    <w:p w:rsidR="00CA0BAB" w:rsidRPr="005301F6" w:rsidRDefault="00CA0BA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</w:rPr>
      </w:pPr>
    </w:p>
    <w:p w:rsidR="00346FBD" w:rsidRPr="005301F6" w:rsidRDefault="00346FB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</w:rPr>
      </w:pPr>
    </w:p>
    <w:p w:rsidR="00561300" w:rsidRDefault="005613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noProof/>
          <w:lang w:eastAsia="fr-BE"/>
        </w:rPr>
        <w:drawing>
          <wp:inline distT="0" distB="0" distL="0" distR="0" wp14:anchorId="32D4B0AA">
            <wp:extent cx="6096635" cy="342963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1300" w:rsidRDefault="005613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</w:rPr>
      </w:pPr>
    </w:p>
    <w:p w:rsidR="00561300" w:rsidRDefault="005613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</w:rPr>
      </w:pPr>
    </w:p>
    <w:p w:rsidR="0096266F" w:rsidRPr="00CA0BAB" w:rsidRDefault="0093099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i/>
          <w:sz w:val="20"/>
          <w:szCs w:val="20"/>
        </w:rPr>
      </w:pPr>
      <w:r w:rsidRPr="00CA0BAB">
        <w:rPr>
          <w:rFonts w:ascii="Segoe UI" w:eastAsia="Times New Roman" w:hAnsi="Segoe UI" w:cs="Segoe UI"/>
          <w:b/>
          <w:i/>
          <w:sz w:val="20"/>
          <w:szCs w:val="20"/>
        </w:rPr>
        <w:t>En réalité, l</w:t>
      </w:r>
      <w:r w:rsidR="00B81181" w:rsidRPr="00CA0BAB">
        <w:rPr>
          <w:rFonts w:ascii="Segoe UI" w:eastAsia="Times New Roman" w:hAnsi="Segoe UI" w:cs="Segoe UI"/>
          <w:b/>
          <w:i/>
          <w:sz w:val="20"/>
          <w:szCs w:val="20"/>
        </w:rPr>
        <w:t>’évaluation</w:t>
      </w:r>
      <w:r w:rsidR="00C5438C" w:rsidRPr="00CA0BAB">
        <w:rPr>
          <w:rFonts w:ascii="Segoe UI" w:eastAsia="Times New Roman" w:hAnsi="Segoe UI" w:cs="Segoe UI"/>
          <w:b/>
          <w:i/>
          <w:sz w:val="20"/>
          <w:szCs w:val="20"/>
        </w:rPr>
        <w:t xml:space="preserve"> des régulateurs européens</w:t>
      </w:r>
      <w:r w:rsidR="00B81181" w:rsidRPr="00CA0BAB">
        <w:rPr>
          <w:rFonts w:ascii="Segoe UI" w:eastAsia="Times New Roman" w:hAnsi="Segoe UI" w:cs="Segoe UI"/>
          <w:b/>
          <w:i/>
          <w:sz w:val="20"/>
          <w:szCs w:val="20"/>
        </w:rPr>
        <w:t xml:space="preserve"> témoigne </w:t>
      </w:r>
      <w:r w:rsidR="00346FBD" w:rsidRPr="00CA0BAB">
        <w:rPr>
          <w:rFonts w:ascii="Segoe UI" w:eastAsia="Times New Roman" w:hAnsi="Segoe UI" w:cs="Segoe UI"/>
          <w:b/>
          <w:i/>
          <w:sz w:val="20"/>
          <w:szCs w:val="20"/>
        </w:rPr>
        <w:t>d’un nombre significatif de problèmes</w:t>
      </w:r>
      <w:r w:rsidR="00C5438C" w:rsidRPr="00CA0BAB">
        <w:rPr>
          <w:rFonts w:ascii="Segoe UI" w:eastAsia="Times New Roman" w:hAnsi="Segoe UI" w:cs="Segoe UI"/>
          <w:b/>
          <w:i/>
          <w:sz w:val="20"/>
          <w:szCs w:val="20"/>
        </w:rPr>
        <w:t xml:space="preserve"> rencontrés par le dispositif même de la DSMA</w:t>
      </w:r>
      <w:r w:rsidR="00346FBD" w:rsidRPr="00CA0BAB">
        <w:rPr>
          <w:rFonts w:ascii="Segoe UI" w:eastAsia="Times New Roman" w:hAnsi="Segoe UI" w:cs="Segoe UI"/>
          <w:b/>
          <w:i/>
          <w:sz w:val="20"/>
          <w:szCs w:val="20"/>
        </w:rPr>
        <w:t>.</w:t>
      </w:r>
    </w:p>
    <w:p w:rsidR="0027662E" w:rsidRPr="00CA0BAB" w:rsidRDefault="0027662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</w:p>
    <w:p w:rsidR="0027662E" w:rsidRPr="00CA0BAB" w:rsidRDefault="00346FB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eastAsia="Times New Roman" w:hAnsi="Segoe UI" w:cs="Segoe UI"/>
          <w:sz w:val="20"/>
          <w:szCs w:val="20"/>
        </w:rPr>
        <w:t xml:space="preserve">Au stade de la procédure de </w:t>
      </w:r>
      <w:r w:rsidRPr="00CA0BAB">
        <w:rPr>
          <w:rFonts w:ascii="Segoe UI" w:eastAsia="Times New Roman" w:hAnsi="Segoe UI" w:cs="Segoe UI"/>
          <w:sz w:val="20"/>
          <w:szCs w:val="20"/>
          <w:u w:val="single"/>
        </w:rPr>
        <w:t>rattachement à une juridiction</w:t>
      </w:r>
      <w:r w:rsidR="0027662E" w:rsidRPr="00CA0BAB">
        <w:rPr>
          <w:rFonts w:ascii="Segoe UI" w:eastAsia="Times New Roman" w:hAnsi="Segoe UI" w:cs="Segoe UI"/>
          <w:sz w:val="20"/>
          <w:szCs w:val="20"/>
        </w:rPr>
        <w:t xml:space="preserve"> (art 2 DSMA) :</w:t>
      </w:r>
      <w:r w:rsidRPr="00CA0BAB">
        <w:rPr>
          <w:rFonts w:ascii="Segoe UI" w:eastAsia="Times New Roman" w:hAnsi="Segoe UI" w:cs="Segoe UI"/>
          <w:sz w:val="20"/>
          <w:szCs w:val="20"/>
        </w:rPr>
        <w:t xml:space="preserve"> </w:t>
      </w:r>
    </w:p>
    <w:p w:rsidR="0027662E" w:rsidRPr="00CA0BAB" w:rsidRDefault="00346FBD" w:rsidP="0027662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eastAsia="Times New Roman" w:hAnsi="Segoe UI" w:cs="Segoe UI"/>
          <w:sz w:val="20"/>
          <w:szCs w:val="20"/>
        </w:rPr>
        <w:t>les critères de la directive manquent de clarté – en particulier pour déterminer de manière univoque q</w:t>
      </w:r>
      <w:r w:rsidR="00930997" w:rsidRPr="00CA0BAB">
        <w:rPr>
          <w:rFonts w:ascii="Segoe UI" w:eastAsia="Times New Roman" w:hAnsi="Segoe UI" w:cs="Segoe UI"/>
          <w:sz w:val="20"/>
          <w:szCs w:val="20"/>
        </w:rPr>
        <w:t xml:space="preserve">ui exerce réellement la responsabilité </w:t>
      </w:r>
      <w:r w:rsidRPr="00CA0BAB">
        <w:rPr>
          <w:rFonts w:ascii="Segoe UI" w:eastAsia="Times New Roman" w:hAnsi="Segoe UI" w:cs="Segoe UI"/>
          <w:sz w:val="20"/>
          <w:szCs w:val="20"/>
        </w:rPr>
        <w:t xml:space="preserve">éditoriale – </w:t>
      </w:r>
      <w:r w:rsidR="004B74A0" w:rsidRPr="00CA0BAB">
        <w:rPr>
          <w:rFonts w:ascii="Segoe UI" w:eastAsia="Times New Roman" w:hAnsi="Segoe UI" w:cs="Segoe UI"/>
          <w:sz w:val="20"/>
          <w:szCs w:val="20"/>
        </w:rPr>
        <w:t xml:space="preserve">(rappel : </w:t>
      </w:r>
      <w:r w:rsidR="00930997" w:rsidRPr="00CA0BAB">
        <w:rPr>
          <w:rFonts w:ascii="Segoe UI" w:eastAsia="Times New Roman" w:hAnsi="Segoe UI" w:cs="Segoe UI"/>
          <w:sz w:val="20"/>
          <w:szCs w:val="20"/>
        </w:rPr>
        <w:t>contrôle effectif)</w:t>
      </w:r>
      <w:r w:rsidR="00454ADF">
        <w:rPr>
          <w:rFonts w:ascii="Segoe UI" w:eastAsia="Times New Roman" w:hAnsi="Segoe UI" w:cs="Segoe UI"/>
          <w:sz w:val="20"/>
          <w:szCs w:val="20"/>
        </w:rPr>
        <w:t> ;</w:t>
      </w:r>
    </w:p>
    <w:p w:rsidR="0096266F" w:rsidRPr="00CA0BAB" w:rsidRDefault="0027662E" w:rsidP="0027662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eastAsia="Times New Roman" w:hAnsi="Segoe UI" w:cs="Segoe UI"/>
          <w:sz w:val="20"/>
          <w:szCs w:val="20"/>
        </w:rPr>
        <w:t>la</w:t>
      </w:r>
      <w:r w:rsidR="00346FBD" w:rsidRPr="00CA0BAB">
        <w:rPr>
          <w:rFonts w:ascii="Segoe UI" w:eastAsia="Times New Roman" w:hAnsi="Segoe UI" w:cs="Segoe UI"/>
          <w:sz w:val="20"/>
          <w:szCs w:val="20"/>
        </w:rPr>
        <w:t xml:space="preserve"> mise en œuvre se heurte à de </w:t>
      </w:r>
      <w:r w:rsidR="00496112" w:rsidRPr="00CA0BAB">
        <w:rPr>
          <w:rFonts w:ascii="Segoe UI" w:eastAsia="Times New Roman" w:hAnsi="Segoe UI" w:cs="Segoe UI"/>
          <w:sz w:val="20"/>
          <w:szCs w:val="20"/>
        </w:rPr>
        <w:t xml:space="preserve">nouvelles pratiques </w:t>
      </w:r>
      <w:r w:rsidR="00C5438C" w:rsidRPr="00CA0BAB">
        <w:rPr>
          <w:rFonts w:ascii="Segoe UI" w:eastAsia="Times New Roman" w:hAnsi="Segoe UI" w:cs="Segoe UI"/>
          <w:sz w:val="20"/>
          <w:szCs w:val="20"/>
        </w:rPr>
        <w:t>organisationnelles</w:t>
      </w:r>
      <w:r w:rsidR="00930997" w:rsidRPr="00CA0BAB">
        <w:rPr>
          <w:rFonts w:ascii="Segoe UI" w:eastAsia="Times New Roman" w:hAnsi="Segoe UI" w:cs="Segoe UI"/>
          <w:sz w:val="20"/>
          <w:szCs w:val="20"/>
        </w:rPr>
        <w:t>, lorsque</w:t>
      </w:r>
      <w:r w:rsidR="00346FBD" w:rsidRPr="00CA0BAB">
        <w:rPr>
          <w:rFonts w:ascii="Segoe UI" w:eastAsia="Times New Roman" w:hAnsi="Segoe UI" w:cs="Segoe UI"/>
          <w:sz w:val="20"/>
          <w:szCs w:val="20"/>
        </w:rPr>
        <w:t xml:space="preserve"> </w:t>
      </w:r>
      <w:r w:rsidR="00454ADF">
        <w:rPr>
          <w:rFonts w:ascii="Segoe UI" w:eastAsia="Times New Roman" w:hAnsi="Segoe UI" w:cs="Segoe UI"/>
          <w:sz w:val="20"/>
          <w:szCs w:val="20"/>
        </w:rPr>
        <w:t>les fonctions de responsabilité</w:t>
      </w:r>
      <w:r w:rsidR="00346FBD" w:rsidRPr="00CA0BAB">
        <w:rPr>
          <w:rFonts w:ascii="Segoe UI" w:eastAsia="Times New Roman" w:hAnsi="Segoe UI" w:cs="Segoe UI"/>
          <w:sz w:val="20"/>
          <w:szCs w:val="20"/>
        </w:rPr>
        <w:t xml:space="preserve"> </w:t>
      </w:r>
      <w:r w:rsidR="004B74A0" w:rsidRPr="00CA0BAB">
        <w:rPr>
          <w:rFonts w:ascii="Segoe UI" w:eastAsia="Times New Roman" w:hAnsi="Segoe UI" w:cs="Segoe UI"/>
          <w:sz w:val="20"/>
          <w:szCs w:val="20"/>
        </w:rPr>
        <w:t xml:space="preserve">d’un même fournisseur </w:t>
      </w:r>
      <w:r w:rsidR="005301F6" w:rsidRPr="00CA0BAB">
        <w:rPr>
          <w:rFonts w:ascii="Segoe UI" w:eastAsia="Times New Roman" w:hAnsi="Segoe UI" w:cs="Segoe UI"/>
          <w:sz w:val="20"/>
          <w:szCs w:val="20"/>
        </w:rPr>
        <w:t>sont réparties sur plusieurs</w:t>
      </w:r>
      <w:r w:rsidR="00346FBD" w:rsidRPr="00CA0BAB">
        <w:rPr>
          <w:rFonts w:ascii="Segoe UI" w:eastAsia="Times New Roman" w:hAnsi="Segoe UI" w:cs="Segoe UI"/>
          <w:sz w:val="20"/>
          <w:szCs w:val="20"/>
        </w:rPr>
        <w:t xml:space="preserve"> territoires, européens ou non.</w:t>
      </w:r>
    </w:p>
    <w:p w:rsidR="0027662E" w:rsidRPr="00CA0BAB" w:rsidRDefault="0027662E" w:rsidP="0027662E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</w:p>
    <w:p w:rsidR="0027662E" w:rsidRPr="00CA0BAB" w:rsidRDefault="0027662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eastAsia="Times New Roman" w:hAnsi="Segoe UI" w:cs="Segoe UI"/>
          <w:sz w:val="20"/>
          <w:szCs w:val="20"/>
        </w:rPr>
        <w:t xml:space="preserve">Au stade des possibilités de </w:t>
      </w:r>
      <w:r w:rsidR="00C5438C" w:rsidRPr="00454ADF">
        <w:rPr>
          <w:rFonts w:ascii="Segoe UI" w:eastAsia="Times New Roman" w:hAnsi="Segoe UI" w:cs="Segoe UI"/>
          <w:sz w:val="20"/>
          <w:szCs w:val="20"/>
          <w:u w:val="single"/>
        </w:rPr>
        <w:t>dérogation</w:t>
      </w:r>
      <w:r w:rsidR="006D4457" w:rsidRPr="00454ADF">
        <w:rPr>
          <w:rFonts w:ascii="Segoe UI" w:eastAsia="Times New Roman" w:hAnsi="Segoe UI" w:cs="Segoe UI"/>
          <w:sz w:val="20"/>
          <w:szCs w:val="20"/>
          <w:u w:val="single"/>
        </w:rPr>
        <w:t xml:space="preserve"> </w:t>
      </w:r>
      <w:r w:rsidRPr="00454ADF">
        <w:rPr>
          <w:rFonts w:ascii="Segoe UI" w:eastAsia="Times New Roman" w:hAnsi="Segoe UI" w:cs="Segoe UI"/>
          <w:sz w:val="20"/>
          <w:szCs w:val="20"/>
          <w:u w:val="single"/>
        </w:rPr>
        <w:t>à la liberté de réception</w:t>
      </w:r>
      <w:r w:rsidRPr="00CA0BAB">
        <w:rPr>
          <w:rFonts w:ascii="Segoe UI" w:eastAsia="Times New Roman" w:hAnsi="Segoe UI" w:cs="Segoe UI"/>
          <w:sz w:val="20"/>
          <w:szCs w:val="20"/>
        </w:rPr>
        <w:t xml:space="preserve"> (art 3 DSMA): </w:t>
      </w:r>
      <w:r w:rsidR="005301F6" w:rsidRPr="00CA0BAB">
        <w:rPr>
          <w:rFonts w:ascii="Segoe UI" w:eastAsia="Times New Roman" w:hAnsi="Segoe UI" w:cs="Segoe UI"/>
          <w:sz w:val="20"/>
          <w:szCs w:val="20"/>
        </w:rPr>
        <w:t xml:space="preserve">le </w:t>
      </w:r>
      <w:r w:rsidR="00346FBD" w:rsidRPr="00CA0BAB">
        <w:rPr>
          <w:rFonts w:ascii="Segoe UI" w:eastAsia="Times New Roman" w:hAnsi="Segoe UI" w:cs="Segoe UI"/>
          <w:sz w:val="20"/>
          <w:szCs w:val="20"/>
        </w:rPr>
        <w:t>mêm</w:t>
      </w:r>
      <w:r w:rsidR="00B81181" w:rsidRPr="00CA0BAB">
        <w:rPr>
          <w:rFonts w:ascii="Segoe UI" w:eastAsia="Times New Roman" w:hAnsi="Segoe UI" w:cs="Segoe UI"/>
          <w:sz w:val="20"/>
          <w:szCs w:val="20"/>
        </w:rPr>
        <w:t xml:space="preserve">e constat d’imprécision </w:t>
      </w:r>
      <w:r w:rsidR="005301F6" w:rsidRPr="00CA0BAB">
        <w:rPr>
          <w:rFonts w:ascii="Segoe UI" w:eastAsia="Times New Roman" w:hAnsi="Segoe UI" w:cs="Segoe UI"/>
          <w:sz w:val="20"/>
          <w:szCs w:val="20"/>
        </w:rPr>
        <w:t>est exprimées ainsi qu</w:t>
      </w:r>
      <w:r w:rsidR="004B74A0" w:rsidRPr="00CA0BAB">
        <w:rPr>
          <w:rFonts w:ascii="Segoe UI" w:eastAsia="Times New Roman" w:hAnsi="Segoe UI" w:cs="Segoe UI"/>
          <w:sz w:val="20"/>
          <w:szCs w:val="20"/>
        </w:rPr>
        <w:t xml:space="preserve">’une </w:t>
      </w:r>
      <w:r w:rsidR="00B81181" w:rsidRPr="00CA0BAB">
        <w:rPr>
          <w:rFonts w:ascii="Segoe UI" w:eastAsia="Times New Roman" w:hAnsi="Segoe UI" w:cs="Segoe UI"/>
          <w:sz w:val="20"/>
          <w:szCs w:val="20"/>
        </w:rPr>
        <w:t xml:space="preserve">critique du </w:t>
      </w:r>
      <w:r w:rsidR="00346FBD" w:rsidRPr="00CA0BAB">
        <w:rPr>
          <w:rFonts w:ascii="Segoe UI" w:eastAsia="Times New Roman" w:hAnsi="Segoe UI" w:cs="Segoe UI"/>
          <w:sz w:val="20"/>
          <w:szCs w:val="20"/>
        </w:rPr>
        <w:t>caractère excessivement form</w:t>
      </w:r>
      <w:r w:rsidR="00496112" w:rsidRPr="00CA0BAB">
        <w:rPr>
          <w:rFonts w:ascii="Segoe UI" w:eastAsia="Times New Roman" w:hAnsi="Segoe UI" w:cs="Segoe UI"/>
          <w:sz w:val="20"/>
          <w:szCs w:val="20"/>
        </w:rPr>
        <w:t xml:space="preserve">el de la procédure </w:t>
      </w:r>
    </w:p>
    <w:p w:rsidR="0027662E" w:rsidRPr="00CA0BAB" w:rsidRDefault="0027662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</w:p>
    <w:p w:rsidR="004F3ABF" w:rsidRPr="00CA0BAB" w:rsidRDefault="0027662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eastAsia="Times New Roman" w:hAnsi="Segoe UI" w:cs="Segoe UI"/>
          <w:sz w:val="20"/>
          <w:szCs w:val="20"/>
        </w:rPr>
        <w:t>Au stade du di</w:t>
      </w:r>
      <w:r w:rsidR="004F3ABF" w:rsidRPr="00CA0BAB">
        <w:rPr>
          <w:rFonts w:ascii="Segoe UI" w:eastAsia="Times New Roman" w:hAnsi="Segoe UI" w:cs="Segoe UI"/>
          <w:sz w:val="20"/>
          <w:szCs w:val="20"/>
        </w:rPr>
        <w:t>s</w:t>
      </w:r>
      <w:r w:rsidRPr="00CA0BAB">
        <w:rPr>
          <w:rFonts w:ascii="Segoe UI" w:eastAsia="Times New Roman" w:hAnsi="Segoe UI" w:cs="Segoe UI"/>
          <w:sz w:val="20"/>
          <w:szCs w:val="20"/>
        </w:rPr>
        <w:t>positif de coo</w:t>
      </w:r>
      <w:r w:rsidR="004F3ABF" w:rsidRPr="00CA0BAB">
        <w:rPr>
          <w:rFonts w:ascii="Segoe UI" w:eastAsia="Times New Roman" w:hAnsi="Segoe UI" w:cs="Segoe UI"/>
          <w:sz w:val="20"/>
          <w:szCs w:val="20"/>
        </w:rPr>
        <w:t>pé</w:t>
      </w:r>
      <w:r w:rsidRPr="00CA0BAB">
        <w:rPr>
          <w:rFonts w:ascii="Segoe UI" w:eastAsia="Times New Roman" w:hAnsi="Segoe UI" w:cs="Segoe UI"/>
          <w:sz w:val="20"/>
          <w:szCs w:val="20"/>
        </w:rPr>
        <w:t>ration formel</w:t>
      </w:r>
      <w:r w:rsidR="004F3ABF" w:rsidRPr="00CA0BAB">
        <w:rPr>
          <w:rFonts w:ascii="Segoe UI" w:eastAsia="Times New Roman" w:hAnsi="Segoe UI" w:cs="Segoe UI"/>
          <w:sz w:val="20"/>
          <w:szCs w:val="20"/>
        </w:rPr>
        <w:t xml:space="preserve"> et de la </w:t>
      </w:r>
      <w:r w:rsidR="004F3ABF" w:rsidRPr="00454ADF">
        <w:rPr>
          <w:rFonts w:ascii="Segoe UI" w:eastAsia="Times New Roman" w:hAnsi="Segoe UI" w:cs="Segoe UI"/>
          <w:sz w:val="20"/>
          <w:szCs w:val="20"/>
          <w:u w:val="single"/>
        </w:rPr>
        <w:t>procédure anti-contournement des</w:t>
      </w:r>
      <w:r w:rsidR="004F3ABF" w:rsidRPr="00CA0BAB">
        <w:rPr>
          <w:rFonts w:ascii="Segoe UI" w:eastAsia="Times New Roman" w:hAnsi="Segoe UI" w:cs="Segoe UI"/>
          <w:sz w:val="20"/>
          <w:szCs w:val="20"/>
        </w:rPr>
        <w:t xml:space="preserve"> </w:t>
      </w:r>
      <w:r w:rsidR="00496112" w:rsidRPr="00CA0BAB">
        <w:rPr>
          <w:rFonts w:ascii="Segoe UI" w:eastAsia="Times New Roman" w:hAnsi="Segoe UI" w:cs="Segoe UI"/>
          <w:sz w:val="20"/>
          <w:szCs w:val="20"/>
          <w:u w:val="single"/>
        </w:rPr>
        <w:t>rè</w:t>
      </w:r>
      <w:r w:rsidR="00B27157" w:rsidRPr="00CA0BAB">
        <w:rPr>
          <w:rFonts w:ascii="Segoe UI" w:eastAsia="Times New Roman" w:hAnsi="Segoe UI" w:cs="Segoe UI"/>
          <w:sz w:val="20"/>
          <w:szCs w:val="20"/>
          <w:u w:val="single"/>
        </w:rPr>
        <w:t>gles plus strictes</w:t>
      </w:r>
      <w:r w:rsidR="00B27157" w:rsidRPr="00CA0BAB">
        <w:rPr>
          <w:rFonts w:ascii="Segoe UI" w:eastAsia="Times New Roman" w:hAnsi="Segoe UI" w:cs="Segoe UI"/>
          <w:sz w:val="20"/>
          <w:szCs w:val="20"/>
        </w:rPr>
        <w:t xml:space="preserve"> d’un pays</w:t>
      </w:r>
      <w:r w:rsidR="004F3ABF" w:rsidRPr="00CA0BAB">
        <w:rPr>
          <w:rFonts w:ascii="Segoe UI" w:eastAsia="Times New Roman" w:hAnsi="Segoe UI" w:cs="Segoe UI"/>
          <w:sz w:val="20"/>
          <w:szCs w:val="20"/>
        </w:rPr>
        <w:t xml:space="preserve"> de </w:t>
      </w:r>
      <w:r w:rsidR="00870E2D" w:rsidRPr="00CA0BAB">
        <w:rPr>
          <w:rFonts w:ascii="Segoe UI" w:eastAsia="Times New Roman" w:hAnsi="Segoe UI" w:cs="Segoe UI"/>
          <w:sz w:val="20"/>
          <w:szCs w:val="20"/>
        </w:rPr>
        <w:t>destination</w:t>
      </w:r>
      <w:r w:rsidR="005301F6" w:rsidRPr="00CA0BAB">
        <w:rPr>
          <w:rFonts w:ascii="Segoe UI" w:eastAsia="Times New Roman" w:hAnsi="Segoe UI" w:cs="Segoe UI"/>
          <w:sz w:val="20"/>
          <w:szCs w:val="20"/>
        </w:rPr>
        <w:t xml:space="preserve"> (art 4 DSMA)</w:t>
      </w:r>
      <w:r w:rsidR="004F3ABF" w:rsidRPr="00CA0BAB">
        <w:rPr>
          <w:rFonts w:ascii="Segoe UI" w:eastAsia="Times New Roman" w:hAnsi="Segoe UI" w:cs="Segoe UI"/>
          <w:sz w:val="20"/>
          <w:szCs w:val="20"/>
        </w:rPr>
        <w:t xml:space="preserve"> : </w:t>
      </w:r>
    </w:p>
    <w:p w:rsidR="004F3ABF" w:rsidRPr="00CA0BAB" w:rsidRDefault="00B27157" w:rsidP="004F3ABF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eastAsia="Times New Roman" w:hAnsi="Segoe UI" w:cs="Segoe UI"/>
          <w:sz w:val="20"/>
          <w:szCs w:val="20"/>
        </w:rPr>
        <w:t xml:space="preserve"> très peu de pays ont obten</w:t>
      </w:r>
      <w:r w:rsidR="00496112" w:rsidRPr="00CA0BAB">
        <w:rPr>
          <w:rFonts w:ascii="Segoe UI" w:eastAsia="Times New Roman" w:hAnsi="Segoe UI" w:cs="Segoe UI"/>
          <w:sz w:val="20"/>
          <w:szCs w:val="20"/>
        </w:rPr>
        <w:t>u un</w:t>
      </w:r>
      <w:r w:rsidRPr="00CA0BAB">
        <w:rPr>
          <w:rFonts w:ascii="Segoe UI" w:eastAsia="Times New Roman" w:hAnsi="Segoe UI" w:cs="Segoe UI"/>
          <w:sz w:val="20"/>
          <w:szCs w:val="20"/>
        </w:rPr>
        <w:t xml:space="preserve"> résultat positif de la coopération </w:t>
      </w:r>
      <w:r w:rsidR="004B74A0" w:rsidRPr="00CA0BAB">
        <w:rPr>
          <w:rFonts w:ascii="Segoe UI" w:eastAsia="Times New Roman" w:hAnsi="Segoe UI" w:cs="Segoe UI"/>
          <w:sz w:val="20"/>
          <w:szCs w:val="20"/>
        </w:rPr>
        <w:t xml:space="preserve">formelle </w:t>
      </w:r>
      <w:r w:rsidRPr="00CA0BAB">
        <w:rPr>
          <w:rFonts w:ascii="Segoe UI" w:eastAsia="Times New Roman" w:hAnsi="Segoe UI" w:cs="Segoe UI"/>
          <w:sz w:val="20"/>
          <w:szCs w:val="20"/>
        </w:rPr>
        <w:t>recommandée entre les pays concernés</w:t>
      </w:r>
      <w:r w:rsidR="00454ADF">
        <w:rPr>
          <w:rFonts w:ascii="Segoe UI" w:eastAsia="Times New Roman" w:hAnsi="Segoe UI" w:cs="Segoe UI"/>
          <w:sz w:val="20"/>
          <w:szCs w:val="20"/>
        </w:rPr>
        <w:t> ;</w:t>
      </w:r>
    </w:p>
    <w:p w:rsidR="00B27157" w:rsidRPr="00CA0BAB" w:rsidRDefault="004F3ABF" w:rsidP="004F3ABF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eastAsia="Times New Roman" w:hAnsi="Segoe UI" w:cs="Segoe UI"/>
          <w:sz w:val="20"/>
          <w:szCs w:val="20"/>
        </w:rPr>
        <w:t xml:space="preserve">La </w:t>
      </w:r>
      <w:r w:rsidR="00B27157" w:rsidRPr="00CA0BAB">
        <w:rPr>
          <w:rFonts w:ascii="Segoe UI" w:eastAsia="Times New Roman" w:hAnsi="Segoe UI" w:cs="Segoe UI"/>
          <w:sz w:val="20"/>
          <w:szCs w:val="20"/>
        </w:rPr>
        <w:t>p</w:t>
      </w:r>
      <w:r w:rsidRPr="00CA0BAB">
        <w:rPr>
          <w:rFonts w:ascii="Segoe UI" w:eastAsia="Times New Roman" w:hAnsi="Segoe UI" w:cs="Segoe UI"/>
          <w:sz w:val="20"/>
          <w:szCs w:val="20"/>
        </w:rPr>
        <w:t>rocédure « anti-contournement »</w:t>
      </w:r>
      <w:r w:rsidR="00B27157" w:rsidRPr="00CA0BAB">
        <w:rPr>
          <w:rFonts w:ascii="Segoe UI" w:eastAsia="Times New Roman" w:hAnsi="Segoe UI" w:cs="Segoe UI"/>
          <w:sz w:val="20"/>
          <w:szCs w:val="20"/>
        </w:rPr>
        <w:t xml:space="preserve"> plus formelle</w:t>
      </w:r>
      <w:r w:rsidRPr="00CA0BAB">
        <w:rPr>
          <w:rFonts w:ascii="Segoe UI" w:eastAsia="Times New Roman" w:hAnsi="Segoe UI" w:cs="Segoe UI"/>
          <w:sz w:val="20"/>
          <w:szCs w:val="20"/>
        </w:rPr>
        <w:t xml:space="preserve"> et </w:t>
      </w:r>
      <w:r w:rsidR="00B27157" w:rsidRPr="00CA0BAB">
        <w:rPr>
          <w:rFonts w:ascii="Segoe UI" w:eastAsia="Times New Roman" w:hAnsi="Segoe UI" w:cs="Segoe UI"/>
          <w:sz w:val="20"/>
          <w:szCs w:val="20"/>
        </w:rPr>
        <w:t xml:space="preserve"> subsidiaire est considérée comme difficile voire très difficile à appliquer</w:t>
      </w:r>
      <w:r w:rsidR="00496112" w:rsidRPr="00CA0BAB">
        <w:rPr>
          <w:rFonts w:ascii="Segoe UI" w:eastAsia="Times New Roman" w:hAnsi="Segoe UI" w:cs="Segoe UI"/>
          <w:sz w:val="20"/>
          <w:szCs w:val="20"/>
        </w:rPr>
        <w:t>.</w:t>
      </w:r>
    </w:p>
    <w:p w:rsidR="00870E2D" w:rsidRPr="005301F6" w:rsidRDefault="00870E2D" w:rsidP="00023375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</w:rPr>
      </w:pPr>
    </w:p>
    <w:p w:rsidR="0027662E" w:rsidRDefault="0027662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</w:rPr>
      </w:pPr>
    </w:p>
    <w:p w:rsidR="00CA0BAB" w:rsidRDefault="00CA0BA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</w:rPr>
      </w:pPr>
    </w:p>
    <w:p w:rsidR="00CA0BAB" w:rsidRDefault="00CA0BA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</w:rPr>
      </w:pPr>
    </w:p>
    <w:p w:rsidR="00CA0BAB" w:rsidRDefault="00CA0BA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</w:rPr>
      </w:pPr>
    </w:p>
    <w:p w:rsidR="00CA0BAB" w:rsidRDefault="00CA0BA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</w:rPr>
      </w:pPr>
    </w:p>
    <w:p w:rsidR="00CA0BAB" w:rsidRPr="005301F6" w:rsidRDefault="00CA0BA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</w:rPr>
      </w:pPr>
    </w:p>
    <w:p w:rsidR="00F503B2" w:rsidRDefault="00F503B2" w:rsidP="00F503B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</w:rPr>
      </w:pPr>
      <w:r w:rsidRPr="005301F6">
        <w:rPr>
          <w:rFonts w:ascii="Segoe UI" w:eastAsia="Times New Roman" w:hAnsi="Segoe UI" w:cs="Segoe UI"/>
          <w:b/>
        </w:rPr>
        <w:t>UN NOUVEL EQUILIBRE ?</w:t>
      </w:r>
    </w:p>
    <w:p w:rsidR="00B4556D" w:rsidRDefault="00B4556D" w:rsidP="00F503B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</w:rPr>
      </w:pPr>
    </w:p>
    <w:p w:rsidR="00B4556D" w:rsidRPr="005301F6" w:rsidRDefault="00B4556D" w:rsidP="00F503B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</w:rPr>
      </w:pPr>
      <w:r>
        <w:rPr>
          <w:rFonts w:ascii="Segoe UI" w:eastAsia="Times New Roman" w:hAnsi="Segoe UI" w:cs="Segoe UI"/>
          <w:noProof/>
          <w:lang w:eastAsia="fr-BE"/>
        </w:rPr>
        <w:drawing>
          <wp:inline distT="0" distB="0" distL="0" distR="0" wp14:anchorId="10B27C2C" wp14:editId="2A526B51">
            <wp:extent cx="4707085" cy="264795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957" cy="264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03B2" w:rsidRPr="005301F6" w:rsidRDefault="00F503B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</w:rPr>
      </w:pPr>
    </w:p>
    <w:p w:rsidR="0096266F" w:rsidRPr="00CA0BAB" w:rsidRDefault="004B74A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i/>
          <w:sz w:val="20"/>
          <w:szCs w:val="20"/>
        </w:rPr>
      </w:pPr>
      <w:r w:rsidRPr="00CA0BAB">
        <w:rPr>
          <w:rFonts w:ascii="Segoe UI" w:eastAsia="Times New Roman" w:hAnsi="Segoe UI" w:cs="Segoe UI"/>
          <w:b/>
          <w:i/>
          <w:sz w:val="20"/>
          <w:szCs w:val="20"/>
        </w:rPr>
        <w:t xml:space="preserve">Plusieurs hypothèses de solutions sont en discussion entre </w:t>
      </w:r>
      <w:r w:rsidR="009443E4" w:rsidRPr="00CA0BAB">
        <w:rPr>
          <w:rFonts w:ascii="Segoe UI" w:eastAsia="Times New Roman" w:hAnsi="Segoe UI" w:cs="Segoe UI"/>
          <w:b/>
          <w:i/>
          <w:sz w:val="20"/>
          <w:szCs w:val="20"/>
        </w:rPr>
        <w:t>les régulateurs</w:t>
      </w:r>
      <w:r w:rsidRPr="00CA0BAB">
        <w:rPr>
          <w:rFonts w:ascii="Segoe UI" w:eastAsia="Times New Roman" w:hAnsi="Segoe UI" w:cs="Segoe UI"/>
          <w:b/>
          <w:i/>
          <w:sz w:val="20"/>
          <w:szCs w:val="20"/>
        </w:rPr>
        <w:t xml:space="preserve"> européens : </w:t>
      </w:r>
      <w:r w:rsidR="009443E4" w:rsidRPr="00CA0BAB">
        <w:rPr>
          <w:rFonts w:ascii="Segoe UI" w:eastAsia="Times New Roman" w:hAnsi="Segoe UI" w:cs="Segoe UI"/>
          <w:b/>
          <w:i/>
          <w:sz w:val="20"/>
          <w:szCs w:val="20"/>
        </w:rPr>
        <w:t xml:space="preserve"> </w:t>
      </w:r>
    </w:p>
    <w:p w:rsidR="0096266F" w:rsidRPr="00CA0BAB" w:rsidRDefault="0096266F" w:rsidP="00500522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eastAsia="Times New Roman" w:hAnsi="Segoe UI" w:cs="Segoe UI"/>
          <w:sz w:val="20"/>
          <w:szCs w:val="20"/>
        </w:rPr>
        <w:t>La</w:t>
      </w:r>
      <w:r w:rsidR="000D1425" w:rsidRPr="00CA0BAB">
        <w:rPr>
          <w:rFonts w:ascii="Segoe UI" w:eastAsia="Times New Roman" w:hAnsi="Segoe UI" w:cs="Segoe UI"/>
          <w:sz w:val="20"/>
          <w:szCs w:val="20"/>
        </w:rPr>
        <w:t xml:space="preserve"> clarification de la responsabilité éditor</w:t>
      </w:r>
      <w:r w:rsidR="00200792" w:rsidRPr="00CA0BAB">
        <w:rPr>
          <w:rFonts w:ascii="Segoe UI" w:eastAsia="Times New Roman" w:hAnsi="Segoe UI" w:cs="Segoe UI"/>
          <w:sz w:val="20"/>
          <w:szCs w:val="20"/>
        </w:rPr>
        <w:t>i</w:t>
      </w:r>
      <w:r w:rsidR="000D1425" w:rsidRPr="00CA0BAB">
        <w:rPr>
          <w:rFonts w:ascii="Segoe UI" w:eastAsia="Times New Roman" w:hAnsi="Segoe UI" w:cs="Segoe UI"/>
          <w:sz w:val="20"/>
          <w:szCs w:val="20"/>
        </w:rPr>
        <w:t>ale</w:t>
      </w:r>
      <w:r w:rsidR="004B74A0" w:rsidRPr="00CA0BAB">
        <w:rPr>
          <w:rFonts w:ascii="Segoe UI" w:eastAsia="Times New Roman" w:hAnsi="Segoe UI" w:cs="Segoe UI"/>
          <w:sz w:val="20"/>
          <w:szCs w:val="20"/>
        </w:rPr>
        <w:t xml:space="preserve"> (art 2 DSMA)</w:t>
      </w:r>
      <w:r w:rsidR="000D1425" w:rsidRPr="00CA0BAB">
        <w:rPr>
          <w:rFonts w:ascii="Segoe UI" w:eastAsia="Times New Roman" w:hAnsi="Segoe UI" w:cs="Segoe UI"/>
          <w:sz w:val="20"/>
          <w:szCs w:val="20"/>
        </w:rPr>
        <w:t xml:space="preserve"> </w:t>
      </w:r>
    </w:p>
    <w:p w:rsidR="0096266F" w:rsidRPr="00CA0BAB" w:rsidRDefault="0096266F" w:rsidP="00500522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eastAsia="Times New Roman" w:hAnsi="Segoe UI" w:cs="Segoe UI"/>
          <w:sz w:val="20"/>
          <w:szCs w:val="20"/>
        </w:rPr>
        <w:t>La</w:t>
      </w:r>
      <w:r w:rsidR="000D1425" w:rsidRPr="00CA0BAB">
        <w:rPr>
          <w:rFonts w:ascii="Segoe UI" w:eastAsia="Times New Roman" w:hAnsi="Segoe UI" w:cs="Segoe UI"/>
          <w:sz w:val="20"/>
          <w:szCs w:val="20"/>
        </w:rPr>
        <w:t xml:space="preserve"> simplification des dérogations </w:t>
      </w:r>
      <w:r w:rsidR="004B74A0" w:rsidRPr="00CA0BAB">
        <w:rPr>
          <w:rFonts w:ascii="Segoe UI" w:eastAsia="Times New Roman" w:hAnsi="Segoe UI" w:cs="Segoe UI"/>
          <w:sz w:val="20"/>
          <w:szCs w:val="20"/>
        </w:rPr>
        <w:t>(art 3 DSMA)</w:t>
      </w:r>
    </w:p>
    <w:p w:rsidR="009443E4" w:rsidRPr="00CA0BAB" w:rsidRDefault="0096266F" w:rsidP="00500522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eastAsia="Times New Roman" w:hAnsi="Segoe UI" w:cs="Segoe UI"/>
          <w:sz w:val="20"/>
          <w:szCs w:val="20"/>
        </w:rPr>
        <w:t>L’</w:t>
      </w:r>
      <w:r w:rsidR="005301F6" w:rsidRPr="00CA0BAB">
        <w:rPr>
          <w:rFonts w:ascii="Segoe UI" w:eastAsia="Times New Roman" w:hAnsi="Segoe UI" w:cs="Segoe UI"/>
          <w:sz w:val="20"/>
          <w:szCs w:val="20"/>
        </w:rPr>
        <w:t>alignement des</w:t>
      </w:r>
      <w:r w:rsidR="00200792" w:rsidRPr="00CA0BAB">
        <w:rPr>
          <w:rFonts w:ascii="Segoe UI" w:eastAsia="Times New Roman" w:hAnsi="Segoe UI" w:cs="Segoe UI"/>
          <w:sz w:val="20"/>
          <w:szCs w:val="20"/>
        </w:rPr>
        <w:t xml:space="preserve"> services à la demande</w:t>
      </w:r>
      <w:r w:rsidR="005301F6" w:rsidRPr="00CA0BAB">
        <w:rPr>
          <w:rFonts w:ascii="Segoe UI" w:eastAsia="Times New Roman" w:hAnsi="Segoe UI" w:cs="Segoe UI"/>
          <w:sz w:val="20"/>
          <w:szCs w:val="20"/>
        </w:rPr>
        <w:t xml:space="preserve"> aux services linéaires</w:t>
      </w:r>
      <w:r w:rsidR="00200792" w:rsidRPr="00CA0BAB">
        <w:rPr>
          <w:rFonts w:ascii="Segoe UI" w:eastAsia="Times New Roman" w:hAnsi="Segoe UI" w:cs="Segoe UI"/>
          <w:sz w:val="20"/>
          <w:szCs w:val="20"/>
        </w:rPr>
        <w:t xml:space="preserve"> permettant </w:t>
      </w:r>
      <w:r w:rsidR="004B74A0" w:rsidRPr="00CA0BAB">
        <w:rPr>
          <w:rFonts w:ascii="Segoe UI" w:eastAsia="Times New Roman" w:hAnsi="Segoe UI" w:cs="Segoe UI"/>
          <w:sz w:val="20"/>
          <w:szCs w:val="20"/>
        </w:rPr>
        <w:t>notamment de les soumettre aux mêmes règles anti-contournement</w:t>
      </w:r>
    </w:p>
    <w:p w:rsidR="00200792" w:rsidRPr="00CA0BAB" w:rsidRDefault="009443E4" w:rsidP="00500522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eastAsia="Times New Roman" w:hAnsi="Segoe UI" w:cs="Segoe UI"/>
          <w:sz w:val="20"/>
          <w:szCs w:val="20"/>
        </w:rPr>
        <w:t>La clarification et la simplification de la procédure anti-contournement</w:t>
      </w:r>
      <w:r w:rsidR="004B74A0" w:rsidRPr="00CA0BAB">
        <w:rPr>
          <w:rFonts w:ascii="Segoe UI" w:eastAsia="Times New Roman" w:hAnsi="Segoe UI" w:cs="Segoe UI"/>
          <w:sz w:val="20"/>
          <w:szCs w:val="20"/>
        </w:rPr>
        <w:t xml:space="preserve"> (art 4 DSMA)</w:t>
      </w:r>
    </w:p>
    <w:p w:rsidR="00200792" w:rsidRPr="00CA0BAB" w:rsidRDefault="0020079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</w:p>
    <w:p w:rsidR="00200792" w:rsidRPr="00CA0BAB" w:rsidRDefault="004E46AD" w:rsidP="0020079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eastAsia="Times New Roman" w:hAnsi="Segoe UI" w:cs="Segoe UI"/>
          <w:sz w:val="20"/>
          <w:szCs w:val="20"/>
        </w:rPr>
        <w:t>Mais</w:t>
      </w:r>
      <w:r w:rsidR="009443E4" w:rsidRPr="00CA0BAB">
        <w:rPr>
          <w:rFonts w:ascii="Segoe UI" w:eastAsia="Times New Roman" w:hAnsi="Segoe UI" w:cs="Segoe UI"/>
          <w:sz w:val="20"/>
          <w:szCs w:val="20"/>
        </w:rPr>
        <w:t xml:space="preserve"> </w:t>
      </w:r>
      <w:r w:rsidR="00200792" w:rsidRPr="00CA0BAB">
        <w:rPr>
          <w:rFonts w:ascii="Segoe UI" w:eastAsia="Times New Roman" w:hAnsi="Segoe UI" w:cs="Segoe UI"/>
          <w:sz w:val="20"/>
          <w:szCs w:val="20"/>
        </w:rPr>
        <w:t xml:space="preserve">plusieurs voix </w:t>
      </w:r>
      <w:r w:rsidR="009443E4" w:rsidRPr="00CA0BAB">
        <w:rPr>
          <w:rFonts w:ascii="Segoe UI" w:eastAsia="Times New Roman" w:hAnsi="Segoe UI" w:cs="Segoe UI"/>
          <w:sz w:val="20"/>
          <w:szCs w:val="20"/>
        </w:rPr>
        <w:t>estime</w:t>
      </w:r>
      <w:r w:rsidR="00A765F6" w:rsidRPr="00CA0BAB">
        <w:rPr>
          <w:rFonts w:ascii="Segoe UI" w:eastAsia="Times New Roman" w:hAnsi="Segoe UI" w:cs="Segoe UI"/>
          <w:sz w:val="20"/>
          <w:szCs w:val="20"/>
        </w:rPr>
        <w:t>nt</w:t>
      </w:r>
      <w:r w:rsidR="00200792" w:rsidRPr="00CA0BAB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CA0BAB">
        <w:rPr>
          <w:rFonts w:ascii="Segoe UI" w:eastAsia="Times New Roman" w:hAnsi="Segoe UI" w:cs="Segoe UI"/>
          <w:sz w:val="20"/>
          <w:szCs w:val="20"/>
        </w:rPr>
        <w:t xml:space="preserve">aussi </w:t>
      </w:r>
      <w:r w:rsidR="00200792" w:rsidRPr="00CA0BAB">
        <w:rPr>
          <w:rFonts w:ascii="Segoe UI" w:eastAsia="Times New Roman" w:hAnsi="Segoe UI" w:cs="Segoe UI"/>
          <w:sz w:val="20"/>
          <w:szCs w:val="20"/>
        </w:rPr>
        <w:t>que</w:t>
      </w:r>
      <w:r w:rsidR="00A765F6" w:rsidRPr="00CA0BAB">
        <w:rPr>
          <w:rFonts w:ascii="Segoe UI" w:eastAsia="Times New Roman" w:hAnsi="Segoe UI" w:cs="Segoe UI"/>
          <w:sz w:val="20"/>
          <w:szCs w:val="20"/>
        </w:rPr>
        <w:t xml:space="preserve"> ce dispositif formel</w:t>
      </w:r>
      <w:r w:rsidR="00200792" w:rsidRPr="00CA0BAB">
        <w:rPr>
          <w:rFonts w:ascii="Segoe UI" w:eastAsia="Times New Roman" w:hAnsi="Segoe UI" w:cs="Segoe UI"/>
          <w:sz w:val="20"/>
          <w:szCs w:val="20"/>
        </w:rPr>
        <w:t xml:space="preserve"> et </w:t>
      </w:r>
      <w:r w:rsidR="00A765F6" w:rsidRPr="00CA0BAB">
        <w:rPr>
          <w:rFonts w:ascii="Segoe UI" w:eastAsia="Times New Roman" w:hAnsi="Segoe UI" w:cs="Segoe UI"/>
          <w:sz w:val="20"/>
          <w:szCs w:val="20"/>
        </w:rPr>
        <w:t xml:space="preserve">parfois </w:t>
      </w:r>
      <w:r w:rsidR="009265E6" w:rsidRPr="00CA0BAB">
        <w:rPr>
          <w:rFonts w:ascii="Segoe UI" w:eastAsia="Times New Roman" w:hAnsi="Segoe UI" w:cs="Segoe UI"/>
          <w:sz w:val="20"/>
          <w:szCs w:val="20"/>
        </w:rPr>
        <w:t>peu efficace est aussi</w:t>
      </w:r>
      <w:r w:rsidR="00496112" w:rsidRPr="00CA0BAB">
        <w:rPr>
          <w:rFonts w:ascii="Segoe UI" w:eastAsia="Times New Roman" w:hAnsi="Segoe UI" w:cs="Segoe UI"/>
          <w:sz w:val="20"/>
          <w:szCs w:val="20"/>
        </w:rPr>
        <w:t xml:space="preserve"> le ré</w:t>
      </w:r>
      <w:r w:rsidR="00200792" w:rsidRPr="00CA0BAB">
        <w:rPr>
          <w:rFonts w:ascii="Segoe UI" w:eastAsia="Times New Roman" w:hAnsi="Segoe UI" w:cs="Segoe UI"/>
          <w:sz w:val="20"/>
          <w:szCs w:val="20"/>
        </w:rPr>
        <w:t xml:space="preserve">sultat d’une tension inhérente entre l’objectif du marché unique fondé sur l’abaissement </w:t>
      </w:r>
      <w:r w:rsidR="00496112" w:rsidRPr="00CA0BAB">
        <w:rPr>
          <w:rFonts w:ascii="Segoe UI" w:eastAsia="Times New Roman" w:hAnsi="Segoe UI" w:cs="Segoe UI"/>
          <w:sz w:val="20"/>
          <w:szCs w:val="20"/>
        </w:rPr>
        <w:t>des barriè</w:t>
      </w:r>
      <w:r w:rsidR="00200792" w:rsidRPr="00CA0BAB">
        <w:rPr>
          <w:rFonts w:ascii="Segoe UI" w:eastAsia="Times New Roman" w:hAnsi="Segoe UI" w:cs="Segoe UI"/>
          <w:sz w:val="20"/>
          <w:szCs w:val="20"/>
        </w:rPr>
        <w:t>re</w:t>
      </w:r>
      <w:r w:rsidR="00496112" w:rsidRPr="00CA0BAB">
        <w:rPr>
          <w:rFonts w:ascii="Segoe UI" w:eastAsia="Times New Roman" w:hAnsi="Segoe UI" w:cs="Segoe UI"/>
          <w:sz w:val="20"/>
          <w:szCs w:val="20"/>
        </w:rPr>
        <w:t>s</w:t>
      </w:r>
      <w:r w:rsidR="00200792" w:rsidRPr="00CA0BAB">
        <w:rPr>
          <w:rFonts w:ascii="Segoe UI" w:eastAsia="Times New Roman" w:hAnsi="Segoe UI" w:cs="Segoe UI"/>
          <w:sz w:val="20"/>
          <w:szCs w:val="20"/>
        </w:rPr>
        <w:t xml:space="preserve"> nationale</w:t>
      </w:r>
      <w:r w:rsidR="00496112" w:rsidRPr="00CA0BAB">
        <w:rPr>
          <w:rFonts w:ascii="Segoe UI" w:eastAsia="Times New Roman" w:hAnsi="Segoe UI" w:cs="Segoe UI"/>
          <w:sz w:val="20"/>
          <w:szCs w:val="20"/>
        </w:rPr>
        <w:t>s</w:t>
      </w:r>
      <w:r w:rsidR="00200792" w:rsidRPr="00CA0BAB">
        <w:rPr>
          <w:rFonts w:ascii="Segoe UI" w:eastAsia="Times New Roman" w:hAnsi="Segoe UI" w:cs="Segoe UI"/>
          <w:sz w:val="20"/>
          <w:szCs w:val="20"/>
        </w:rPr>
        <w:t xml:space="preserve"> et celui de</w:t>
      </w:r>
      <w:r w:rsidR="00496112" w:rsidRPr="00CA0BAB">
        <w:rPr>
          <w:rFonts w:ascii="Segoe UI" w:eastAsia="Times New Roman" w:hAnsi="Segoe UI" w:cs="Segoe UI"/>
          <w:sz w:val="20"/>
          <w:szCs w:val="20"/>
        </w:rPr>
        <w:t xml:space="preserve"> la</w:t>
      </w:r>
      <w:r w:rsidR="00200792" w:rsidRPr="00CA0BAB">
        <w:rPr>
          <w:rFonts w:ascii="Segoe UI" w:eastAsia="Times New Roman" w:hAnsi="Segoe UI" w:cs="Segoe UI"/>
          <w:sz w:val="20"/>
          <w:szCs w:val="20"/>
        </w:rPr>
        <w:t xml:space="preserve"> préservation de la diversité culturelle assurant a contrario des mesure</w:t>
      </w:r>
      <w:r w:rsidR="00496112" w:rsidRPr="00CA0BAB">
        <w:rPr>
          <w:rFonts w:ascii="Segoe UI" w:eastAsia="Times New Roman" w:hAnsi="Segoe UI" w:cs="Segoe UI"/>
          <w:sz w:val="20"/>
          <w:szCs w:val="20"/>
        </w:rPr>
        <w:t>s</w:t>
      </w:r>
      <w:r w:rsidR="00200792" w:rsidRPr="00CA0BAB">
        <w:rPr>
          <w:rFonts w:ascii="Segoe UI" w:eastAsia="Times New Roman" w:hAnsi="Segoe UI" w:cs="Segoe UI"/>
          <w:sz w:val="20"/>
          <w:szCs w:val="20"/>
        </w:rPr>
        <w:t xml:space="preserve"> de protection national</w:t>
      </w:r>
      <w:r w:rsidR="00496112" w:rsidRPr="00CA0BAB">
        <w:rPr>
          <w:rFonts w:ascii="Segoe UI" w:eastAsia="Times New Roman" w:hAnsi="Segoe UI" w:cs="Segoe UI"/>
          <w:sz w:val="20"/>
          <w:szCs w:val="20"/>
        </w:rPr>
        <w:t>e</w:t>
      </w:r>
      <w:r w:rsidR="00200792" w:rsidRPr="00CA0BAB">
        <w:rPr>
          <w:rFonts w:ascii="Segoe UI" w:eastAsia="Times New Roman" w:hAnsi="Segoe UI" w:cs="Segoe UI"/>
          <w:sz w:val="20"/>
          <w:szCs w:val="20"/>
        </w:rPr>
        <w:t xml:space="preserve"> d’objectif</w:t>
      </w:r>
      <w:r w:rsidR="00496112" w:rsidRPr="00CA0BAB">
        <w:rPr>
          <w:rFonts w:ascii="Segoe UI" w:eastAsia="Times New Roman" w:hAnsi="Segoe UI" w:cs="Segoe UI"/>
          <w:sz w:val="20"/>
          <w:szCs w:val="20"/>
        </w:rPr>
        <w:t>s</w:t>
      </w:r>
      <w:r w:rsidR="00F503B2" w:rsidRPr="00CA0BAB">
        <w:rPr>
          <w:rFonts w:ascii="Segoe UI" w:eastAsia="Times New Roman" w:hAnsi="Segoe UI" w:cs="Segoe UI"/>
          <w:sz w:val="20"/>
          <w:szCs w:val="20"/>
        </w:rPr>
        <w:t xml:space="preserve"> </w:t>
      </w:r>
      <w:r w:rsidR="00200792" w:rsidRPr="00CA0BAB">
        <w:rPr>
          <w:rFonts w:ascii="Segoe UI" w:eastAsia="Times New Roman" w:hAnsi="Segoe UI" w:cs="Segoe UI"/>
          <w:sz w:val="20"/>
          <w:szCs w:val="20"/>
        </w:rPr>
        <w:t>d’intérêt général.</w:t>
      </w:r>
    </w:p>
    <w:p w:rsidR="00200792" w:rsidRPr="00CA0BAB" w:rsidRDefault="00200792" w:rsidP="0020079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</w:p>
    <w:p w:rsidR="00CA0BAB" w:rsidRDefault="00B4556D" w:rsidP="0020079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eastAsia="Times New Roman" w:hAnsi="Segoe UI" w:cs="Segoe UI"/>
          <w:b/>
          <w:i/>
          <w:sz w:val="20"/>
          <w:szCs w:val="20"/>
        </w:rPr>
        <w:t>D’autres orientations sont plus controversées.</w:t>
      </w:r>
      <w:r w:rsidRPr="00CA0BAB">
        <w:rPr>
          <w:rFonts w:ascii="Segoe UI" w:eastAsia="Times New Roman" w:hAnsi="Segoe UI" w:cs="Segoe UI"/>
          <w:sz w:val="20"/>
          <w:szCs w:val="20"/>
        </w:rPr>
        <w:t xml:space="preserve"> </w:t>
      </w:r>
    </w:p>
    <w:p w:rsidR="00F503B2" w:rsidRPr="00CA0BAB" w:rsidRDefault="00B4556D" w:rsidP="0020079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eastAsia="Times New Roman" w:hAnsi="Segoe UI" w:cs="Segoe UI"/>
          <w:sz w:val="20"/>
          <w:szCs w:val="20"/>
        </w:rPr>
        <w:t>Elles plaident pour un</w:t>
      </w:r>
      <w:r w:rsidR="00200792" w:rsidRPr="00CA0BAB">
        <w:rPr>
          <w:rFonts w:ascii="Segoe UI" w:eastAsia="Times New Roman" w:hAnsi="Segoe UI" w:cs="Segoe UI"/>
          <w:sz w:val="20"/>
          <w:szCs w:val="20"/>
        </w:rPr>
        <w:t xml:space="preserve"> changement d’approche au bénéfice d’une règle </w:t>
      </w:r>
      <w:r w:rsidR="00A765F6" w:rsidRPr="00CA0BAB">
        <w:rPr>
          <w:rFonts w:ascii="Segoe UI" w:eastAsia="Times New Roman" w:hAnsi="Segoe UI" w:cs="Segoe UI"/>
          <w:sz w:val="20"/>
          <w:szCs w:val="20"/>
        </w:rPr>
        <w:t>de destina</w:t>
      </w:r>
      <w:r w:rsidR="009443E4" w:rsidRPr="00CA0BAB">
        <w:rPr>
          <w:rFonts w:ascii="Segoe UI" w:eastAsia="Times New Roman" w:hAnsi="Segoe UI" w:cs="Segoe UI"/>
          <w:sz w:val="20"/>
          <w:szCs w:val="20"/>
        </w:rPr>
        <w:t>tion</w:t>
      </w:r>
      <w:r w:rsidR="009443E4" w:rsidRPr="00CA0BAB">
        <w:rPr>
          <w:rFonts w:ascii="Segoe UI" w:eastAsia="Times New Roman" w:hAnsi="Segoe UI" w:cs="Segoe UI"/>
          <w:b/>
          <w:sz w:val="20"/>
          <w:szCs w:val="20"/>
        </w:rPr>
        <w:t xml:space="preserve"> </w:t>
      </w:r>
      <w:r w:rsidR="00496112" w:rsidRPr="00CA0BAB">
        <w:rPr>
          <w:rFonts w:ascii="Segoe UI" w:eastAsia="Times New Roman" w:hAnsi="Segoe UI" w:cs="Segoe UI"/>
          <w:sz w:val="20"/>
          <w:szCs w:val="20"/>
        </w:rPr>
        <w:t>dans une série de cas spécifiques</w:t>
      </w:r>
      <w:r w:rsidR="00A765F6" w:rsidRPr="00CA0BAB">
        <w:rPr>
          <w:rFonts w:ascii="Segoe UI" w:eastAsia="Times New Roman" w:hAnsi="Segoe UI" w:cs="Segoe UI"/>
          <w:sz w:val="20"/>
          <w:szCs w:val="20"/>
        </w:rPr>
        <w:t xml:space="preserve"> (par exemple pour des obligations spécifiques voire</w:t>
      </w:r>
      <w:r w:rsidR="00496112" w:rsidRPr="00CA0BAB">
        <w:rPr>
          <w:rFonts w:ascii="Segoe UI" w:eastAsia="Times New Roman" w:hAnsi="Segoe UI" w:cs="Segoe UI"/>
          <w:sz w:val="20"/>
          <w:szCs w:val="20"/>
        </w:rPr>
        <w:t xml:space="preserve"> pour</w:t>
      </w:r>
      <w:r w:rsidR="00A765F6" w:rsidRPr="00CA0BAB">
        <w:rPr>
          <w:rFonts w:ascii="Segoe UI" w:eastAsia="Times New Roman" w:hAnsi="Segoe UI" w:cs="Segoe UI"/>
          <w:sz w:val="20"/>
          <w:szCs w:val="20"/>
        </w:rPr>
        <w:t xml:space="preserve"> toutes les</w:t>
      </w:r>
      <w:r w:rsidR="005243B6" w:rsidRPr="00CA0BAB">
        <w:rPr>
          <w:rFonts w:ascii="Segoe UI" w:eastAsia="Times New Roman" w:hAnsi="Segoe UI" w:cs="Segoe UI"/>
          <w:sz w:val="20"/>
          <w:szCs w:val="20"/>
        </w:rPr>
        <w:t xml:space="preserve"> rè</w:t>
      </w:r>
      <w:r w:rsidR="00A765F6" w:rsidRPr="00CA0BAB">
        <w:rPr>
          <w:rFonts w:ascii="Segoe UI" w:eastAsia="Times New Roman" w:hAnsi="Segoe UI" w:cs="Segoe UI"/>
          <w:sz w:val="20"/>
          <w:szCs w:val="20"/>
        </w:rPr>
        <w:t xml:space="preserve">gles plus strictes,  la promotion de la culture, les services VOD ou non UE, </w:t>
      </w:r>
      <w:r w:rsidR="00496112" w:rsidRPr="00CA0BAB">
        <w:rPr>
          <w:rFonts w:ascii="Segoe UI" w:eastAsia="Times New Roman" w:hAnsi="Segoe UI" w:cs="Segoe UI"/>
          <w:sz w:val="20"/>
          <w:szCs w:val="20"/>
        </w:rPr>
        <w:t>ou en cas d’</w:t>
      </w:r>
      <w:r w:rsidR="00A765F6" w:rsidRPr="00CA0BAB">
        <w:rPr>
          <w:rFonts w:ascii="Segoe UI" w:eastAsia="Times New Roman" w:hAnsi="Segoe UI" w:cs="Segoe UI"/>
          <w:sz w:val="20"/>
          <w:szCs w:val="20"/>
        </w:rPr>
        <w:t>impact significatif sur l’audience)</w:t>
      </w:r>
      <w:r w:rsidR="005243B6" w:rsidRPr="00CA0BAB">
        <w:rPr>
          <w:rFonts w:ascii="Segoe UI" w:eastAsia="Times New Roman" w:hAnsi="Segoe UI" w:cs="Segoe UI"/>
          <w:sz w:val="20"/>
          <w:szCs w:val="20"/>
        </w:rPr>
        <w:t xml:space="preserve">. </w:t>
      </w:r>
    </w:p>
    <w:p w:rsidR="0096266F" w:rsidRPr="00CA0BAB" w:rsidRDefault="00B4556D" w:rsidP="0020079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CA0BAB">
        <w:rPr>
          <w:rFonts w:ascii="Segoe UI" w:eastAsia="Times New Roman" w:hAnsi="Segoe UI" w:cs="Segoe UI"/>
          <w:sz w:val="20"/>
          <w:szCs w:val="20"/>
        </w:rPr>
        <w:t xml:space="preserve">A contrario certains régulateurs craignent aussi les risques que </w:t>
      </w:r>
      <w:r w:rsidR="005243B6" w:rsidRPr="00CA0BAB">
        <w:rPr>
          <w:rFonts w:ascii="Segoe UI" w:eastAsia="Times New Roman" w:hAnsi="Segoe UI" w:cs="Segoe UI"/>
          <w:sz w:val="20"/>
          <w:szCs w:val="20"/>
        </w:rPr>
        <w:t xml:space="preserve"> l’affaiblissement du</w:t>
      </w:r>
      <w:r w:rsidR="00496112" w:rsidRPr="00CA0BAB">
        <w:rPr>
          <w:rFonts w:ascii="Segoe UI" w:eastAsia="Times New Roman" w:hAnsi="Segoe UI" w:cs="Segoe UI"/>
          <w:sz w:val="20"/>
          <w:szCs w:val="20"/>
        </w:rPr>
        <w:t xml:space="preserve"> principe</w:t>
      </w:r>
      <w:r w:rsidR="005243B6" w:rsidRPr="00CA0BAB">
        <w:rPr>
          <w:rFonts w:ascii="Segoe UI" w:eastAsia="Times New Roman" w:hAnsi="Segoe UI" w:cs="Segoe UI"/>
          <w:sz w:val="20"/>
          <w:szCs w:val="20"/>
        </w:rPr>
        <w:t xml:space="preserve"> </w:t>
      </w:r>
      <w:r w:rsidR="005301F6" w:rsidRPr="00CA0BAB">
        <w:rPr>
          <w:rFonts w:ascii="Segoe UI" w:eastAsia="Times New Roman" w:hAnsi="Segoe UI" w:cs="Segoe UI"/>
          <w:sz w:val="20"/>
          <w:szCs w:val="20"/>
        </w:rPr>
        <w:t xml:space="preserve">du </w:t>
      </w:r>
      <w:r w:rsidR="005243B6" w:rsidRPr="00CA0BAB">
        <w:rPr>
          <w:rFonts w:ascii="Segoe UI" w:eastAsia="Times New Roman" w:hAnsi="Segoe UI" w:cs="Segoe UI"/>
          <w:sz w:val="20"/>
          <w:szCs w:val="20"/>
        </w:rPr>
        <w:t>pays d’</w:t>
      </w:r>
      <w:r w:rsidR="00496112" w:rsidRPr="00CA0BAB">
        <w:rPr>
          <w:rFonts w:ascii="Segoe UI" w:eastAsia="Times New Roman" w:hAnsi="Segoe UI" w:cs="Segoe UI"/>
          <w:sz w:val="20"/>
          <w:szCs w:val="20"/>
        </w:rPr>
        <w:t>origine pourrait faire courir à la libre circul</w:t>
      </w:r>
      <w:r w:rsidR="005243B6" w:rsidRPr="00CA0BAB">
        <w:rPr>
          <w:rFonts w:ascii="Segoe UI" w:eastAsia="Times New Roman" w:hAnsi="Segoe UI" w:cs="Segoe UI"/>
          <w:sz w:val="20"/>
          <w:szCs w:val="20"/>
        </w:rPr>
        <w:t>ation des services</w:t>
      </w:r>
      <w:r w:rsidR="00496112" w:rsidRPr="00CA0BAB">
        <w:rPr>
          <w:rFonts w:ascii="Segoe UI" w:eastAsia="Times New Roman" w:hAnsi="Segoe UI" w:cs="Segoe UI"/>
          <w:sz w:val="20"/>
          <w:szCs w:val="20"/>
        </w:rPr>
        <w:t xml:space="preserve"> audiovisuels et au</w:t>
      </w:r>
      <w:r w:rsidR="005243B6" w:rsidRPr="00CA0BAB">
        <w:rPr>
          <w:rFonts w:ascii="Segoe UI" w:eastAsia="Times New Roman" w:hAnsi="Segoe UI" w:cs="Segoe UI"/>
          <w:sz w:val="20"/>
          <w:szCs w:val="20"/>
        </w:rPr>
        <w:t xml:space="preserve"> pluralisme </w:t>
      </w:r>
      <w:r w:rsidR="00496112" w:rsidRPr="00CA0BAB">
        <w:rPr>
          <w:rFonts w:ascii="Segoe UI" w:eastAsia="Times New Roman" w:hAnsi="Segoe UI" w:cs="Segoe UI"/>
          <w:sz w:val="20"/>
          <w:szCs w:val="20"/>
        </w:rPr>
        <w:t>sur le territoire</w:t>
      </w:r>
      <w:r w:rsidR="005243B6" w:rsidRPr="00CA0BAB">
        <w:rPr>
          <w:rFonts w:ascii="Segoe UI" w:eastAsia="Times New Roman" w:hAnsi="Segoe UI" w:cs="Segoe UI"/>
          <w:sz w:val="20"/>
          <w:szCs w:val="20"/>
        </w:rPr>
        <w:t xml:space="preserve"> de l’Union.</w:t>
      </w:r>
    </w:p>
    <w:p w:rsidR="00870E2D" w:rsidRPr="00CA0BAB" w:rsidRDefault="00870E2D" w:rsidP="0020079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</w:p>
    <w:p w:rsidR="0075675B" w:rsidRPr="00B84929" w:rsidRDefault="00870E2D" w:rsidP="0020079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i/>
          <w:sz w:val="20"/>
          <w:szCs w:val="20"/>
        </w:rPr>
      </w:pPr>
      <w:r w:rsidRPr="00B84929">
        <w:rPr>
          <w:rFonts w:ascii="Segoe UI" w:eastAsia="Times New Roman" w:hAnsi="Segoe UI" w:cs="Segoe UI"/>
          <w:b/>
          <w:i/>
          <w:sz w:val="20"/>
          <w:szCs w:val="20"/>
        </w:rPr>
        <w:t>Tels est donc</w:t>
      </w:r>
      <w:r w:rsidR="00F503B2" w:rsidRPr="00B84929">
        <w:rPr>
          <w:rFonts w:ascii="Segoe UI" w:eastAsia="Times New Roman" w:hAnsi="Segoe UI" w:cs="Segoe UI"/>
          <w:b/>
          <w:i/>
          <w:sz w:val="20"/>
          <w:szCs w:val="20"/>
        </w:rPr>
        <w:t xml:space="preserve"> en quelque sorte le défi de ce printemps 2016 de révision de la directive SMA et de notre panel : </w:t>
      </w:r>
    </w:p>
    <w:p w:rsidR="005301F6" w:rsidRPr="00B84929" w:rsidRDefault="005301F6" w:rsidP="0020079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i/>
          <w:sz w:val="20"/>
          <w:szCs w:val="20"/>
        </w:rPr>
      </w:pPr>
    </w:p>
    <w:p w:rsidR="00B4556D" w:rsidRPr="00B84929" w:rsidRDefault="00F503B2" w:rsidP="0020079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i/>
          <w:sz w:val="20"/>
          <w:szCs w:val="20"/>
        </w:rPr>
      </w:pPr>
      <w:r w:rsidRPr="00B84929">
        <w:rPr>
          <w:rFonts w:ascii="Segoe UI" w:eastAsia="Times New Roman" w:hAnsi="Segoe UI" w:cs="Segoe UI"/>
          <w:b/>
          <w:i/>
          <w:sz w:val="20"/>
          <w:szCs w:val="20"/>
        </w:rPr>
        <w:t>Un nouvel équilibre est</w:t>
      </w:r>
      <w:r w:rsidR="0075675B" w:rsidRPr="00B84929">
        <w:rPr>
          <w:rFonts w:ascii="Segoe UI" w:eastAsia="Times New Roman" w:hAnsi="Segoe UI" w:cs="Segoe UI"/>
          <w:b/>
          <w:i/>
          <w:sz w:val="20"/>
          <w:szCs w:val="20"/>
        </w:rPr>
        <w:t>-il</w:t>
      </w:r>
      <w:r w:rsidRPr="00B84929">
        <w:rPr>
          <w:rFonts w:ascii="Segoe UI" w:eastAsia="Times New Roman" w:hAnsi="Segoe UI" w:cs="Segoe UI"/>
          <w:b/>
          <w:i/>
          <w:sz w:val="20"/>
          <w:szCs w:val="20"/>
        </w:rPr>
        <w:t xml:space="preserve"> possible ?</w:t>
      </w:r>
      <w:r w:rsidR="00870E2D" w:rsidRPr="00B84929">
        <w:rPr>
          <w:rFonts w:ascii="Segoe UI" w:eastAsia="Times New Roman" w:hAnsi="Segoe UI" w:cs="Segoe UI"/>
          <w:b/>
          <w:i/>
          <w:sz w:val="20"/>
          <w:szCs w:val="20"/>
        </w:rPr>
        <w:t xml:space="preserve"> </w:t>
      </w:r>
    </w:p>
    <w:p w:rsidR="00B4556D" w:rsidRPr="00B84929" w:rsidRDefault="00B4556D" w:rsidP="0020079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i/>
          <w:sz w:val="20"/>
          <w:szCs w:val="20"/>
        </w:rPr>
      </w:pPr>
      <w:r w:rsidRPr="00B84929">
        <w:rPr>
          <w:rFonts w:ascii="Segoe UI" w:eastAsia="Times New Roman" w:hAnsi="Segoe UI" w:cs="Segoe UI"/>
          <w:b/>
          <w:i/>
          <w:sz w:val="20"/>
          <w:szCs w:val="20"/>
        </w:rPr>
        <w:t>Dans les cas de délocalis</w:t>
      </w:r>
      <w:r w:rsidR="00B84929" w:rsidRPr="00B84929">
        <w:rPr>
          <w:rFonts w:ascii="Segoe UI" w:eastAsia="Times New Roman" w:hAnsi="Segoe UI" w:cs="Segoe UI"/>
          <w:b/>
          <w:i/>
          <w:sz w:val="20"/>
          <w:szCs w:val="20"/>
        </w:rPr>
        <w:t>ation ou de contournement des rè</w:t>
      </w:r>
      <w:r w:rsidRPr="00B84929">
        <w:rPr>
          <w:rFonts w:ascii="Segoe UI" w:eastAsia="Times New Roman" w:hAnsi="Segoe UI" w:cs="Segoe UI"/>
          <w:b/>
          <w:i/>
          <w:sz w:val="20"/>
          <w:szCs w:val="20"/>
        </w:rPr>
        <w:t xml:space="preserve">gles plus strictes ? </w:t>
      </w:r>
    </w:p>
    <w:p w:rsidR="00B4556D" w:rsidRPr="00B84929" w:rsidRDefault="00B4556D" w:rsidP="0020079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i/>
          <w:sz w:val="20"/>
          <w:szCs w:val="20"/>
        </w:rPr>
      </w:pPr>
      <w:r w:rsidRPr="00B84929">
        <w:rPr>
          <w:rFonts w:ascii="Segoe UI" w:eastAsia="Times New Roman" w:hAnsi="Segoe UI" w:cs="Segoe UI"/>
          <w:b/>
          <w:i/>
          <w:sz w:val="20"/>
          <w:szCs w:val="20"/>
        </w:rPr>
        <w:t>Et quelle approche adopter pour les services en ligne non européens ? Doivent-ils bénéf</w:t>
      </w:r>
      <w:r w:rsidR="00B84929" w:rsidRPr="00B84929">
        <w:rPr>
          <w:rFonts w:ascii="Segoe UI" w:eastAsia="Times New Roman" w:hAnsi="Segoe UI" w:cs="Segoe UI"/>
          <w:b/>
          <w:i/>
          <w:sz w:val="20"/>
          <w:szCs w:val="20"/>
        </w:rPr>
        <w:t>icier du principe de libre circ</w:t>
      </w:r>
      <w:r w:rsidRPr="00B84929">
        <w:rPr>
          <w:rFonts w:ascii="Segoe UI" w:eastAsia="Times New Roman" w:hAnsi="Segoe UI" w:cs="Segoe UI"/>
          <w:b/>
          <w:i/>
          <w:sz w:val="20"/>
          <w:szCs w:val="20"/>
        </w:rPr>
        <w:t>ulation sans avoir un réel établissement en Europe ?</w:t>
      </w:r>
    </w:p>
    <w:p w:rsidR="00B4556D" w:rsidRPr="00B84929" w:rsidRDefault="00B4556D" w:rsidP="0020079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i/>
        </w:rPr>
      </w:pPr>
    </w:p>
    <w:p w:rsidR="006D728D" w:rsidRDefault="0075675B" w:rsidP="0020079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i/>
          <w:sz w:val="20"/>
          <w:szCs w:val="20"/>
        </w:rPr>
      </w:pPr>
      <w:r w:rsidRPr="00B84929">
        <w:rPr>
          <w:rFonts w:ascii="Segoe UI" w:eastAsia="Times New Roman" w:hAnsi="Segoe UI" w:cs="Segoe UI"/>
          <w:b/>
          <w:i/>
          <w:sz w:val="20"/>
          <w:szCs w:val="20"/>
        </w:rPr>
        <w:t xml:space="preserve">Le CSA a </w:t>
      </w:r>
      <w:r w:rsidR="009443E4" w:rsidRPr="00B84929">
        <w:rPr>
          <w:rFonts w:ascii="Segoe UI" w:eastAsia="Times New Roman" w:hAnsi="Segoe UI" w:cs="Segoe UI"/>
          <w:b/>
          <w:i/>
          <w:sz w:val="20"/>
          <w:szCs w:val="20"/>
        </w:rPr>
        <w:t>choisi de faire</w:t>
      </w:r>
      <w:r w:rsidRPr="00B84929">
        <w:rPr>
          <w:rFonts w:ascii="Segoe UI" w:eastAsia="Times New Roman" w:hAnsi="Segoe UI" w:cs="Segoe UI"/>
          <w:b/>
          <w:i/>
          <w:sz w:val="20"/>
          <w:szCs w:val="20"/>
        </w:rPr>
        <w:t xml:space="preserve"> place au débat.</w:t>
      </w:r>
    </w:p>
    <w:p w:rsidR="006D728D" w:rsidRPr="005301F6" w:rsidRDefault="006D728D" w:rsidP="00454ADF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b/>
        </w:rPr>
      </w:pPr>
      <w:r>
        <w:rPr>
          <w:rFonts w:ascii="Segoe UI" w:eastAsia="Times New Roman" w:hAnsi="Segoe UI" w:cs="Segoe UI"/>
          <w:b/>
          <w:i/>
          <w:sz w:val="20"/>
          <w:szCs w:val="20"/>
        </w:rPr>
        <w:t>ECLAIRAGE : Paul-Eric MOSSERAY</w:t>
      </w:r>
    </w:p>
    <w:p w:rsidR="005C4AAC" w:rsidRPr="005301F6" w:rsidRDefault="008F1872" w:rsidP="008F1872">
      <w:pPr>
        <w:tabs>
          <w:tab w:val="left" w:pos="7260"/>
        </w:tabs>
        <w:rPr>
          <w:rFonts w:ascii="Segoe UI" w:eastAsia="Times New Roman" w:hAnsi="Segoe UI" w:cs="Segoe UI"/>
        </w:rPr>
      </w:pPr>
      <w:r w:rsidRPr="005301F6">
        <w:rPr>
          <w:rFonts w:ascii="Segoe UI" w:eastAsia="Times New Roman" w:hAnsi="Segoe UI" w:cs="Segoe UI"/>
        </w:rPr>
        <w:tab/>
      </w:r>
    </w:p>
    <w:sectPr w:rsidR="005C4AAC" w:rsidRPr="005301F6" w:rsidSect="004D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567" w:rsidRDefault="003C2567" w:rsidP="00B60669">
      <w:pPr>
        <w:spacing w:after="0" w:line="240" w:lineRule="auto"/>
      </w:pPr>
      <w:r>
        <w:separator/>
      </w:r>
    </w:p>
  </w:endnote>
  <w:endnote w:type="continuationSeparator" w:id="0">
    <w:p w:rsidR="003C2567" w:rsidRDefault="003C2567" w:rsidP="00B6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567" w:rsidRDefault="003C2567" w:rsidP="00B60669">
      <w:pPr>
        <w:spacing w:after="0" w:line="240" w:lineRule="auto"/>
      </w:pPr>
      <w:r>
        <w:separator/>
      </w:r>
    </w:p>
  </w:footnote>
  <w:footnote w:type="continuationSeparator" w:id="0">
    <w:p w:rsidR="003C2567" w:rsidRDefault="003C2567" w:rsidP="00B60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505F"/>
    <w:multiLevelType w:val="hybridMultilevel"/>
    <w:tmpl w:val="40AEDEB8"/>
    <w:lvl w:ilvl="0" w:tplc="022ED6E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color w:val="auto"/>
        <w:sz w:val="22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F51682"/>
    <w:multiLevelType w:val="hybridMultilevel"/>
    <w:tmpl w:val="DE8058CC"/>
    <w:lvl w:ilvl="0" w:tplc="C9D6ADE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A73F0"/>
    <w:multiLevelType w:val="hybridMultilevel"/>
    <w:tmpl w:val="56FA39FE"/>
    <w:lvl w:ilvl="0" w:tplc="41A6E8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A0DB8"/>
    <w:multiLevelType w:val="hybridMultilevel"/>
    <w:tmpl w:val="F26841D4"/>
    <w:lvl w:ilvl="0" w:tplc="022ED6EE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/>
        <w:color w:val="auto"/>
        <w:sz w:val="22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DF1996"/>
    <w:multiLevelType w:val="hybridMultilevel"/>
    <w:tmpl w:val="C9C87E00"/>
    <w:lvl w:ilvl="0" w:tplc="E92E504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1A047F8"/>
    <w:multiLevelType w:val="hybridMultilevel"/>
    <w:tmpl w:val="1D36EB44"/>
    <w:lvl w:ilvl="0" w:tplc="101088D6">
      <w:start w:val="2009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66F24"/>
    <w:multiLevelType w:val="hybridMultilevel"/>
    <w:tmpl w:val="04520CB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363" w:hanging="360"/>
      </w:pPr>
    </w:lvl>
    <w:lvl w:ilvl="2" w:tplc="83C4688C">
      <w:start w:val="1"/>
      <w:numFmt w:val="lowerLetter"/>
      <w:lvlText w:val="%3."/>
      <w:lvlJc w:val="right"/>
      <w:pPr>
        <w:ind w:left="2083" w:hanging="180"/>
      </w:pPr>
      <w:rPr>
        <w:rFonts w:ascii="Calibri" w:eastAsia="Calibri" w:hAnsi="Calibri" w:cs="Times New Roman"/>
      </w:rPr>
    </w:lvl>
    <w:lvl w:ilvl="3" w:tplc="080C000F">
      <w:start w:val="1"/>
      <w:numFmt w:val="decimal"/>
      <w:lvlText w:val="%4."/>
      <w:lvlJc w:val="left"/>
      <w:pPr>
        <w:ind w:left="2803" w:hanging="360"/>
      </w:pPr>
    </w:lvl>
    <w:lvl w:ilvl="4" w:tplc="080C0019">
      <w:start w:val="1"/>
      <w:numFmt w:val="lowerLetter"/>
      <w:lvlText w:val="%5."/>
      <w:lvlJc w:val="left"/>
      <w:pPr>
        <w:ind w:left="3523" w:hanging="360"/>
      </w:pPr>
    </w:lvl>
    <w:lvl w:ilvl="5" w:tplc="080C001B">
      <w:start w:val="1"/>
      <w:numFmt w:val="lowerRoman"/>
      <w:lvlText w:val="%6."/>
      <w:lvlJc w:val="right"/>
      <w:pPr>
        <w:ind w:left="4243" w:hanging="180"/>
      </w:pPr>
    </w:lvl>
    <w:lvl w:ilvl="6" w:tplc="080C000F">
      <w:start w:val="1"/>
      <w:numFmt w:val="decimal"/>
      <w:lvlText w:val="%7."/>
      <w:lvlJc w:val="left"/>
      <w:pPr>
        <w:ind w:left="4963" w:hanging="360"/>
      </w:pPr>
    </w:lvl>
    <w:lvl w:ilvl="7" w:tplc="080C0019">
      <w:start w:val="1"/>
      <w:numFmt w:val="lowerLetter"/>
      <w:lvlText w:val="%8."/>
      <w:lvlJc w:val="left"/>
      <w:pPr>
        <w:ind w:left="5683" w:hanging="360"/>
      </w:pPr>
    </w:lvl>
    <w:lvl w:ilvl="8" w:tplc="080C001B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6817AE0"/>
    <w:multiLevelType w:val="hybridMultilevel"/>
    <w:tmpl w:val="F83A4A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87B75"/>
    <w:multiLevelType w:val="hybridMultilevel"/>
    <w:tmpl w:val="2CC29B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47269"/>
    <w:multiLevelType w:val="hybridMultilevel"/>
    <w:tmpl w:val="D5FCCBD8"/>
    <w:lvl w:ilvl="0" w:tplc="080C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4973773F"/>
    <w:multiLevelType w:val="hybridMultilevel"/>
    <w:tmpl w:val="970895E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765C8"/>
    <w:multiLevelType w:val="hybridMultilevel"/>
    <w:tmpl w:val="FD380A6C"/>
    <w:lvl w:ilvl="0" w:tplc="5C44FFFC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335A2"/>
    <w:multiLevelType w:val="hybridMultilevel"/>
    <w:tmpl w:val="CE485374"/>
    <w:lvl w:ilvl="0" w:tplc="8A127DE2">
      <w:start w:val="14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  <w:color w:val="1F497D"/>
        <w:sz w:val="2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041EEE"/>
    <w:multiLevelType w:val="hybridMultilevel"/>
    <w:tmpl w:val="5C2C7F3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52A83"/>
    <w:multiLevelType w:val="hybridMultilevel"/>
    <w:tmpl w:val="9C643318"/>
    <w:lvl w:ilvl="0" w:tplc="BFE093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Segoe U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0A25"/>
    <w:multiLevelType w:val="hybridMultilevel"/>
    <w:tmpl w:val="CFD269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D246C"/>
    <w:multiLevelType w:val="hybridMultilevel"/>
    <w:tmpl w:val="D392379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B2266"/>
    <w:multiLevelType w:val="hybridMultilevel"/>
    <w:tmpl w:val="C050660E"/>
    <w:lvl w:ilvl="0" w:tplc="5E403B70">
      <w:start w:val="1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30C11"/>
    <w:multiLevelType w:val="hybridMultilevel"/>
    <w:tmpl w:val="0D34EAD0"/>
    <w:lvl w:ilvl="0" w:tplc="324611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0" w:hanging="360"/>
      </w:pPr>
    </w:lvl>
    <w:lvl w:ilvl="2" w:tplc="080C001B" w:tentative="1">
      <w:start w:val="1"/>
      <w:numFmt w:val="lowerRoman"/>
      <w:lvlText w:val="%3."/>
      <w:lvlJc w:val="right"/>
      <w:pPr>
        <w:ind w:left="3210" w:hanging="180"/>
      </w:pPr>
    </w:lvl>
    <w:lvl w:ilvl="3" w:tplc="080C000F" w:tentative="1">
      <w:start w:val="1"/>
      <w:numFmt w:val="decimal"/>
      <w:lvlText w:val="%4."/>
      <w:lvlJc w:val="left"/>
      <w:pPr>
        <w:ind w:left="3930" w:hanging="360"/>
      </w:pPr>
    </w:lvl>
    <w:lvl w:ilvl="4" w:tplc="080C0019" w:tentative="1">
      <w:start w:val="1"/>
      <w:numFmt w:val="lowerLetter"/>
      <w:lvlText w:val="%5."/>
      <w:lvlJc w:val="left"/>
      <w:pPr>
        <w:ind w:left="4650" w:hanging="360"/>
      </w:pPr>
    </w:lvl>
    <w:lvl w:ilvl="5" w:tplc="080C001B" w:tentative="1">
      <w:start w:val="1"/>
      <w:numFmt w:val="lowerRoman"/>
      <w:lvlText w:val="%6."/>
      <w:lvlJc w:val="right"/>
      <w:pPr>
        <w:ind w:left="5370" w:hanging="180"/>
      </w:pPr>
    </w:lvl>
    <w:lvl w:ilvl="6" w:tplc="080C000F" w:tentative="1">
      <w:start w:val="1"/>
      <w:numFmt w:val="decimal"/>
      <w:lvlText w:val="%7."/>
      <w:lvlJc w:val="left"/>
      <w:pPr>
        <w:ind w:left="6090" w:hanging="360"/>
      </w:pPr>
    </w:lvl>
    <w:lvl w:ilvl="7" w:tplc="080C0019" w:tentative="1">
      <w:start w:val="1"/>
      <w:numFmt w:val="lowerLetter"/>
      <w:lvlText w:val="%8."/>
      <w:lvlJc w:val="left"/>
      <w:pPr>
        <w:ind w:left="6810" w:hanging="360"/>
      </w:pPr>
    </w:lvl>
    <w:lvl w:ilvl="8" w:tplc="08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75B024A0"/>
    <w:multiLevelType w:val="hybridMultilevel"/>
    <w:tmpl w:val="78F6E5B4"/>
    <w:lvl w:ilvl="0" w:tplc="588C61D4">
      <w:start w:val="2009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547EE"/>
    <w:multiLevelType w:val="hybridMultilevel"/>
    <w:tmpl w:val="D0D04AC6"/>
    <w:lvl w:ilvl="0" w:tplc="D20A61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15"/>
  </w:num>
  <w:num w:numId="11">
    <w:abstractNumId w:val="12"/>
  </w:num>
  <w:num w:numId="12">
    <w:abstractNumId w:val="0"/>
  </w:num>
  <w:num w:numId="13">
    <w:abstractNumId w:val="10"/>
  </w:num>
  <w:num w:numId="14">
    <w:abstractNumId w:val="14"/>
  </w:num>
  <w:num w:numId="15">
    <w:abstractNumId w:val="17"/>
  </w:num>
  <w:num w:numId="16">
    <w:abstractNumId w:val="2"/>
  </w:num>
  <w:num w:numId="17">
    <w:abstractNumId w:val="16"/>
  </w:num>
  <w:num w:numId="18">
    <w:abstractNumId w:val="11"/>
  </w:num>
  <w:num w:numId="19">
    <w:abstractNumId w:val="19"/>
  </w:num>
  <w:num w:numId="20">
    <w:abstractNumId w:val="5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F1"/>
    <w:rsid w:val="00005B7B"/>
    <w:rsid w:val="00023375"/>
    <w:rsid w:val="00024224"/>
    <w:rsid w:val="00025F18"/>
    <w:rsid w:val="0004132C"/>
    <w:rsid w:val="00053F54"/>
    <w:rsid w:val="00084F9D"/>
    <w:rsid w:val="000870C4"/>
    <w:rsid w:val="000B59F5"/>
    <w:rsid w:val="000C789C"/>
    <w:rsid w:val="000D1425"/>
    <w:rsid w:val="000E5423"/>
    <w:rsid w:val="00120EF6"/>
    <w:rsid w:val="0012413C"/>
    <w:rsid w:val="001355E6"/>
    <w:rsid w:val="00150EF0"/>
    <w:rsid w:val="00172156"/>
    <w:rsid w:val="001779DB"/>
    <w:rsid w:val="00187E4E"/>
    <w:rsid w:val="001900F1"/>
    <w:rsid w:val="001B0EDB"/>
    <w:rsid w:val="001C0BB5"/>
    <w:rsid w:val="001C426A"/>
    <w:rsid w:val="001E3E55"/>
    <w:rsid w:val="001E613E"/>
    <w:rsid w:val="001E79AD"/>
    <w:rsid w:val="001F31E1"/>
    <w:rsid w:val="00200792"/>
    <w:rsid w:val="002041D1"/>
    <w:rsid w:val="002275C0"/>
    <w:rsid w:val="002316AA"/>
    <w:rsid w:val="00231D12"/>
    <w:rsid w:val="00240A69"/>
    <w:rsid w:val="0024459E"/>
    <w:rsid w:val="00252930"/>
    <w:rsid w:val="0025569C"/>
    <w:rsid w:val="002701B7"/>
    <w:rsid w:val="0027662E"/>
    <w:rsid w:val="002A3782"/>
    <w:rsid w:val="002B21A2"/>
    <w:rsid w:val="002B2CF6"/>
    <w:rsid w:val="002D7602"/>
    <w:rsid w:val="002E7225"/>
    <w:rsid w:val="003020E9"/>
    <w:rsid w:val="00326BA9"/>
    <w:rsid w:val="003438D0"/>
    <w:rsid w:val="00346FBD"/>
    <w:rsid w:val="00354868"/>
    <w:rsid w:val="003617D9"/>
    <w:rsid w:val="003A08C3"/>
    <w:rsid w:val="003B2DD4"/>
    <w:rsid w:val="003C2567"/>
    <w:rsid w:val="003D05CF"/>
    <w:rsid w:val="003F1B4C"/>
    <w:rsid w:val="00426534"/>
    <w:rsid w:val="00436D49"/>
    <w:rsid w:val="0045123C"/>
    <w:rsid w:val="004521E6"/>
    <w:rsid w:val="00454ADF"/>
    <w:rsid w:val="00460878"/>
    <w:rsid w:val="00466FAA"/>
    <w:rsid w:val="00496112"/>
    <w:rsid w:val="004B74A0"/>
    <w:rsid w:val="004C1C24"/>
    <w:rsid w:val="004D282F"/>
    <w:rsid w:val="004D5F9F"/>
    <w:rsid w:val="004E46AD"/>
    <w:rsid w:val="004E5C8E"/>
    <w:rsid w:val="004F3ABF"/>
    <w:rsid w:val="004F4956"/>
    <w:rsid w:val="004F6977"/>
    <w:rsid w:val="00500522"/>
    <w:rsid w:val="005243B6"/>
    <w:rsid w:val="005301F6"/>
    <w:rsid w:val="0053792D"/>
    <w:rsid w:val="00561300"/>
    <w:rsid w:val="0057536A"/>
    <w:rsid w:val="00582534"/>
    <w:rsid w:val="00591C8E"/>
    <w:rsid w:val="005B256A"/>
    <w:rsid w:val="005C4AAC"/>
    <w:rsid w:val="005C56DF"/>
    <w:rsid w:val="005D61F7"/>
    <w:rsid w:val="005D6F73"/>
    <w:rsid w:val="005E1B7B"/>
    <w:rsid w:val="005E45D1"/>
    <w:rsid w:val="0061738D"/>
    <w:rsid w:val="006202BF"/>
    <w:rsid w:val="00622F5E"/>
    <w:rsid w:val="006232D8"/>
    <w:rsid w:val="00624A65"/>
    <w:rsid w:val="0062688F"/>
    <w:rsid w:val="0064350C"/>
    <w:rsid w:val="006455C1"/>
    <w:rsid w:val="00654375"/>
    <w:rsid w:val="006573ED"/>
    <w:rsid w:val="00667709"/>
    <w:rsid w:val="00670E86"/>
    <w:rsid w:val="00687E96"/>
    <w:rsid w:val="006A05AF"/>
    <w:rsid w:val="006A250E"/>
    <w:rsid w:val="006A5169"/>
    <w:rsid w:val="006B4BC7"/>
    <w:rsid w:val="006C5685"/>
    <w:rsid w:val="006D14EB"/>
    <w:rsid w:val="006D341D"/>
    <w:rsid w:val="006D4370"/>
    <w:rsid w:val="006D4457"/>
    <w:rsid w:val="006D728D"/>
    <w:rsid w:val="006E30D1"/>
    <w:rsid w:val="006F20B1"/>
    <w:rsid w:val="006F57C0"/>
    <w:rsid w:val="0070464E"/>
    <w:rsid w:val="00711B81"/>
    <w:rsid w:val="00725A37"/>
    <w:rsid w:val="0074091B"/>
    <w:rsid w:val="00753060"/>
    <w:rsid w:val="0075675B"/>
    <w:rsid w:val="007747E1"/>
    <w:rsid w:val="00781FC2"/>
    <w:rsid w:val="007A3AE6"/>
    <w:rsid w:val="007B0C17"/>
    <w:rsid w:val="007B35F8"/>
    <w:rsid w:val="007D697A"/>
    <w:rsid w:val="007D7EB5"/>
    <w:rsid w:val="007F349D"/>
    <w:rsid w:val="00807425"/>
    <w:rsid w:val="00826408"/>
    <w:rsid w:val="00832CC3"/>
    <w:rsid w:val="008433E1"/>
    <w:rsid w:val="00846BA5"/>
    <w:rsid w:val="00847B90"/>
    <w:rsid w:val="00870E2D"/>
    <w:rsid w:val="00874BAC"/>
    <w:rsid w:val="00880ED4"/>
    <w:rsid w:val="008861B9"/>
    <w:rsid w:val="008A1A4B"/>
    <w:rsid w:val="008D08E5"/>
    <w:rsid w:val="008D2972"/>
    <w:rsid w:val="008D43AE"/>
    <w:rsid w:val="008F03B3"/>
    <w:rsid w:val="008F1872"/>
    <w:rsid w:val="008F6BCC"/>
    <w:rsid w:val="00905652"/>
    <w:rsid w:val="009265E6"/>
    <w:rsid w:val="00930997"/>
    <w:rsid w:val="009419F1"/>
    <w:rsid w:val="009443E4"/>
    <w:rsid w:val="009507E3"/>
    <w:rsid w:val="0096266F"/>
    <w:rsid w:val="009677D8"/>
    <w:rsid w:val="0097676E"/>
    <w:rsid w:val="009823EC"/>
    <w:rsid w:val="00991FE5"/>
    <w:rsid w:val="0099640F"/>
    <w:rsid w:val="00997400"/>
    <w:rsid w:val="009A186F"/>
    <w:rsid w:val="009A2A50"/>
    <w:rsid w:val="009D575E"/>
    <w:rsid w:val="009D60F6"/>
    <w:rsid w:val="009E2A4B"/>
    <w:rsid w:val="009F1787"/>
    <w:rsid w:val="00A02355"/>
    <w:rsid w:val="00A07FED"/>
    <w:rsid w:val="00A2502F"/>
    <w:rsid w:val="00A25BF9"/>
    <w:rsid w:val="00A27CF7"/>
    <w:rsid w:val="00A33BFA"/>
    <w:rsid w:val="00A40FA8"/>
    <w:rsid w:val="00A469DA"/>
    <w:rsid w:val="00A61FC3"/>
    <w:rsid w:val="00A70107"/>
    <w:rsid w:val="00A765F6"/>
    <w:rsid w:val="00A774DB"/>
    <w:rsid w:val="00AB4DD3"/>
    <w:rsid w:val="00AC008D"/>
    <w:rsid w:val="00AD70F1"/>
    <w:rsid w:val="00AE72B2"/>
    <w:rsid w:val="00AF0680"/>
    <w:rsid w:val="00AF1E75"/>
    <w:rsid w:val="00AF3633"/>
    <w:rsid w:val="00AF41CD"/>
    <w:rsid w:val="00B0296C"/>
    <w:rsid w:val="00B241F1"/>
    <w:rsid w:val="00B27157"/>
    <w:rsid w:val="00B277E2"/>
    <w:rsid w:val="00B27C1B"/>
    <w:rsid w:val="00B3780B"/>
    <w:rsid w:val="00B40449"/>
    <w:rsid w:val="00B4556D"/>
    <w:rsid w:val="00B5340D"/>
    <w:rsid w:val="00B54470"/>
    <w:rsid w:val="00B60669"/>
    <w:rsid w:val="00B81181"/>
    <w:rsid w:val="00B84929"/>
    <w:rsid w:val="00B9594D"/>
    <w:rsid w:val="00BB1507"/>
    <w:rsid w:val="00BB2D93"/>
    <w:rsid w:val="00BC138F"/>
    <w:rsid w:val="00BD126F"/>
    <w:rsid w:val="00C41A9A"/>
    <w:rsid w:val="00C431E1"/>
    <w:rsid w:val="00C44ED1"/>
    <w:rsid w:val="00C5438C"/>
    <w:rsid w:val="00C65B1F"/>
    <w:rsid w:val="00C67624"/>
    <w:rsid w:val="00C93BAD"/>
    <w:rsid w:val="00CA0BAB"/>
    <w:rsid w:val="00CD312D"/>
    <w:rsid w:val="00CD4597"/>
    <w:rsid w:val="00CE61A2"/>
    <w:rsid w:val="00D00B63"/>
    <w:rsid w:val="00D423DF"/>
    <w:rsid w:val="00D42FBB"/>
    <w:rsid w:val="00D53E31"/>
    <w:rsid w:val="00D862A2"/>
    <w:rsid w:val="00DA2CAB"/>
    <w:rsid w:val="00DA7310"/>
    <w:rsid w:val="00DA7969"/>
    <w:rsid w:val="00DB402E"/>
    <w:rsid w:val="00DD5C84"/>
    <w:rsid w:val="00DD61E9"/>
    <w:rsid w:val="00DE4088"/>
    <w:rsid w:val="00DE6291"/>
    <w:rsid w:val="00DF4D82"/>
    <w:rsid w:val="00E15F9C"/>
    <w:rsid w:val="00E5746D"/>
    <w:rsid w:val="00E6791D"/>
    <w:rsid w:val="00E8548D"/>
    <w:rsid w:val="00EB66DC"/>
    <w:rsid w:val="00F004E5"/>
    <w:rsid w:val="00F01FA5"/>
    <w:rsid w:val="00F060FE"/>
    <w:rsid w:val="00F24E74"/>
    <w:rsid w:val="00F26F3E"/>
    <w:rsid w:val="00F503B2"/>
    <w:rsid w:val="00F520B0"/>
    <w:rsid w:val="00F53612"/>
    <w:rsid w:val="00F563BA"/>
    <w:rsid w:val="00F71FB5"/>
    <w:rsid w:val="00F76C66"/>
    <w:rsid w:val="00FA60C0"/>
    <w:rsid w:val="00FC4CBF"/>
    <w:rsid w:val="00FC5C51"/>
    <w:rsid w:val="00FD4CB1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DC1B1-809D-45DE-8DA1-0683CF1C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9F"/>
  </w:style>
  <w:style w:type="paragraph" w:styleId="Titre1">
    <w:name w:val="heading 1"/>
    <w:basedOn w:val="Normal"/>
    <w:next w:val="Normal"/>
    <w:link w:val="Titre1Car"/>
    <w:uiPriority w:val="9"/>
    <w:qFormat/>
    <w:rsid w:val="001C0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5C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0B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606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6066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6066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60669"/>
    <w:rPr>
      <w:vertAlign w:val="superscript"/>
    </w:rPr>
  </w:style>
  <w:style w:type="character" w:customStyle="1" w:styleId="hps">
    <w:name w:val="hps"/>
    <w:basedOn w:val="Policepardfaut"/>
    <w:rsid w:val="00C41A9A"/>
  </w:style>
  <w:style w:type="character" w:customStyle="1" w:styleId="shorttext">
    <w:name w:val="short_text"/>
    <w:basedOn w:val="Policepardfaut"/>
    <w:rsid w:val="005D6F73"/>
  </w:style>
  <w:style w:type="character" w:customStyle="1" w:styleId="Titre1Car">
    <w:name w:val="Titre 1 Car"/>
    <w:basedOn w:val="Policepardfaut"/>
    <w:link w:val="Titre1"/>
    <w:uiPriority w:val="9"/>
    <w:rsid w:val="001C0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9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9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1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9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7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4297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4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505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1608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bertrand.levant</dc:creator>
  <cp:lastModifiedBy>Paul-Eric Mosseray</cp:lastModifiedBy>
  <cp:revision>2</cp:revision>
  <cp:lastPrinted>2016-03-16T15:40:00Z</cp:lastPrinted>
  <dcterms:created xsi:type="dcterms:W3CDTF">2016-10-25T16:58:00Z</dcterms:created>
  <dcterms:modified xsi:type="dcterms:W3CDTF">2016-10-25T16:58:00Z</dcterms:modified>
</cp:coreProperties>
</file>