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6F075F" w:rsidRDefault="00FE1326" w:rsidP="00FE1326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6F075F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6F075F" w:rsidRDefault="00FE1326" w:rsidP="00FE1326">
      <w:pPr>
        <w:pStyle w:val="Sansinterligne"/>
        <w:rPr>
          <w:highlight w:val="yellow"/>
          <w:lang w:val="fr-BE"/>
        </w:rPr>
      </w:pPr>
    </w:p>
    <w:p w:rsidR="00FE1326" w:rsidRPr="006F075F" w:rsidRDefault="00FE1326" w:rsidP="00FE1326">
      <w:pPr>
        <w:pStyle w:val="Sansinterligne"/>
        <w:rPr>
          <w:highlight w:val="yellow"/>
          <w:lang w:val="fr-BE"/>
        </w:rPr>
      </w:pPr>
    </w:p>
    <w:p w:rsidR="00FE1326" w:rsidRPr="006F075F" w:rsidRDefault="00FE1326" w:rsidP="00FE1326">
      <w:pPr>
        <w:pStyle w:val="Sansinterligne"/>
        <w:rPr>
          <w:highlight w:val="yellow"/>
          <w:lang w:val="fr-BE"/>
        </w:rPr>
      </w:pPr>
    </w:p>
    <w:p w:rsidR="00FE1326" w:rsidRPr="006F075F" w:rsidRDefault="00FE1326" w:rsidP="00FE1326">
      <w:pPr>
        <w:pStyle w:val="Sansinterligne"/>
        <w:rPr>
          <w:highlight w:val="yellow"/>
          <w:lang w:val="fr-BE"/>
        </w:rPr>
      </w:pPr>
    </w:p>
    <w:p w:rsidR="00FE1326" w:rsidRPr="006F075F" w:rsidRDefault="00FE1326" w:rsidP="00FE1326">
      <w:pPr>
        <w:pStyle w:val="Sansinterligne"/>
        <w:rPr>
          <w:lang w:val="fr-BE"/>
        </w:rPr>
      </w:pPr>
    </w:p>
    <w:p w:rsidR="00FE1326" w:rsidRPr="006F075F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6F075F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6F075F" w:rsidRDefault="00FE1326" w:rsidP="00FE1326">
      <w:pPr>
        <w:pStyle w:val="Sansinterligne"/>
        <w:rPr>
          <w:lang w:val="fr-BE"/>
        </w:rPr>
      </w:pPr>
    </w:p>
    <w:p w:rsidR="009B1D66" w:rsidRPr="006F075F" w:rsidRDefault="009B1D66" w:rsidP="00FE1326">
      <w:pPr>
        <w:pStyle w:val="Sansinterligne"/>
        <w:rPr>
          <w:lang w:val="fr-BE"/>
        </w:rPr>
      </w:pPr>
    </w:p>
    <w:p w:rsidR="009B1D66" w:rsidRPr="006F075F" w:rsidRDefault="009B1D66" w:rsidP="00FE1326">
      <w:pPr>
        <w:pStyle w:val="Sansinterligne"/>
        <w:rPr>
          <w:lang w:val="fr-BE"/>
        </w:rPr>
      </w:pPr>
    </w:p>
    <w:p w:rsidR="00FE1326" w:rsidRPr="006F075F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6F075F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6F075F">
        <w:rPr>
          <w:rFonts w:ascii="Arial" w:hAnsi="Arial" w:cs="Arial"/>
          <w:b/>
          <w:sz w:val="44"/>
          <w:szCs w:val="44"/>
          <w:lang w:val="fr-BE"/>
        </w:rPr>
        <w:t>Appendi</w:t>
      </w:r>
      <w:r w:rsidR="00DD5D49">
        <w:rPr>
          <w:rFonts w:ascii="Arial" w:hAnsi="Arial" w:cs="Arial"/>
          <w:b/>
          <w:sz w:val="44"/>
          <w:szCs w:val="44"/>
          <w:lang w:val="fr-BE"/>
        </w:rPr>
        <w:t>ce</w:t>
      </w:r>
      <w:r w:rsidRPr="006F075F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2936BB">
        <w:rPr>
          <w:rFonts w:ascii="Arial" w:hAnsi="Arial" w:cs="Arial"/>
          <w:b/>
          <w:sz w:val="44"/>
          <w:szCs w:val="44"/>
          <w:lang w:val="fr-BE"/>
        </w:rPr>
        <w:t>10</w:t>
      </w:r>
    </w:p>
    <w:p w:rsidR="00FE1326" w:rsidRPr="006F075F" w:rsidRDefault="00695FED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Aspects quantitatifs</w:t>
      </w:r>
    </w:p>
    <w:p w:rsidR="00FE1326" w:rsidRPr="006F075F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6F075F" w:rsidRDefault="00FE1326" w:rsidP="00FE1326">
      <w:pPr>
        <w:pStyle w:val="Sansinterligne"/>
        <w:jc w:val="right"/>
        <w:rPr>
          <w:b/>
          <w:lang w:val="fr-BE"/>
        </w:rPr>
      </w:pPr>
    </w:p>
    <w:p w:rsidR="009E628C" w:rsidRDefault="00392114" w:rsidP="00FE1326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v 1.3</w:t>
      </w:r>
    </w:p>
    <w:p w:rsidR="00FE1326" w:rsidRPr="006F075F" w:rsidRDefault="00FE1326" w:rsidP="00FE1326">
      <w:pPr>
        <w:rPr>
          <w:b/>
          <w:lang w:val="fr-BE"/>
        </w:rPr>
      </w:pPr>
      <w:r w:rsidRPr="006F075F">
        <w:rPr>
          <w:b/>
          <w:lang w:val="fr-BE"/>
        </w:rPr>
        <w:br w:type="page"/>
      </w:r>
    </w:p>
    <w:bookmarkEnd w:id="0"/>
    <w:bookmarkEnd w:id="1"/>
    <w:p w:rsidR="002409B9" w:rsidRPr="006F075F" w:rsidRDefault="002409B9" w:rsidP="00D109F3">
      <w:pPr>
        <w:rPr>
          <w:lang w:val="fr-BE"/>
        </w:rPr>
      </w:pPr>
    </w:p>
    <w:p w:rsidR="00797BED" w:rsidRPr="006F075F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6F075F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6F075F" w:rsidRDefault="00D830AF">
          <w:pPr>
            <w:pStyle w:val="En-ttedetabledesmatires"/>
            <w:rPr>
              <w:lang w:val="fr-BE"/>
            </w:rPr>
          </w:pPr>
        </w:p>
        <w:p w:rsidR="00695FED" w:rsidRDefault="00AB5A05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AB5A05">
            <w:rPr>
              <w:lang w:val="fr-BE"/>
            </w:rPr>
            <w:fldChar w:fldCharType="begin"/>
          </w:r>
          <w:r w:rsidR="00D830AF" w:rsidRPr="006F075F">
            <w:rPr>
              <w:lang w:val="fr-BE"/>
            </w:rPr>
            <w:instrText xml:space="preserve"> TOC \o "1-3" \h \z \u </w:instrText>
          </w:r>
          <w:r w:rsidRPr="00AB5A05">
            <w:rPr>
              <w:lang w:val="fr-BE"/>
            </w:rPr>
            <w:fldChar w:fldCharType="separate"/>
          </w:r>
          <w:hyperlink w:anchor="_Toc335606497" w:history="1">
            <w:r w:rsidR="00695FED" w:rsidRPr="00A24C76">
              <w:rPr>
                <w:rStyle w:val="Lienhypertexte"/>
                <w:noProof/>
                <w:lang w:val="fr-BE"/>
              </w:rPr>
              <w:t>1.</w:t>
            </w:r>
            <w:r w:rsidR="00695FED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695FED" w:rsidRPr="00A24C76">
              <w:rPr>
                <w:rStyle w:val="Lienhypertexte"/>
                <w:noProof/>
                <w:lang w:val="fr-BE"/>
              </w:rPr>
              <w:t>Objet</w:t>
            </w:r>
            <w:r w:rsidR="00695F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5FED">
              <w:rPr>
                <w:noProof/>
                <w:webHidden/>
              </w:rPr>
              <w:instrText xml:space="preserve"> PAGEREF _Toc335606497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DD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5FED" w:rsidRDefault="00AB5A05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35606498" w:history="1">
            <w:r w:rsidR="00695FED" w:rsidRPr="00A24C76">
              <w:rPr>
                <w:rStyle w:val="Lienhypertexte"/>
                <w:noProof/>
                <w:lang w:val="fr-BE"/>
              </w:rPr>
              <w:t>2.</w:t>
            </w:r>
            <w:r w:rsidR="00695FED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695FED" w:rsidRPr="00A24C76">
              <w:rPr>
                <w:rStyle w:val="Lienhypertexte"/>
                <w:noProof/>
                <w:lang w:val="fr-BE"/>
              </w:rPr>
              <w:t>Tarifs</w:t>
            </w:r>
            <w:r w:rsidR="00695FE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5FED">
              <w:rPr>
                <w:noProof/>
                <w:webHidden/>
              </w:rPr>
              <w:instrText xml:space="preserve"> PAGEREF _Toc335606498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DD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30AF" w:rsidRPr="006F075F" w:rsidRDefault="00AB5A05">
          <w:pPr>
            <w:rPr>
              <w:lang w:val="fr-BE"/>
            </w:rPr>
          </w:pPr>
          <w:r w:rsidRPr="006F075F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6F075F" w:rsidRDefault="00797BED" w:rsidP="00797BED">
      <w:pPr>
        <w:rPr>
          <w:lang w:val="fr-BE"/>
        </w:rPr>
      </w:pPr>
    </w:p>
    <w:p w:rsidR="00797BED" w:rsidRPr="006F075F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6F075F">
        <w:rPr>
          <w:lang w:val="fr-BE"/>
        </w:rPr>
        <w:br w:type="page"/>
      </w:r>
    </w:p>
    <w:p w:rsidR="00D109F3" w:rsidRPr="006F075F" w:rsidRDefault="00012BDC" w:rsidP="00012BDC">
      <w:pPr>
        <w:pStyle w:val="Titre1"/>
        <w:rPr>
          <w:lang w:val="fr-BE"/>
        </w:rPr>
      </w:pPr>
      <w:bookmarkStart w:id="2" w:name="_Toc335606497"/>
      <w:r w:rsidRPr="006F075F">
        <w:rPr>
          <w:lang w:val="fr-BE"/>
        </w:rPr>
        <w:lastRenderedPageBreak/>
        <w:t>Objet</w:t>
      </w:r>
      <w:bookmarkEnd w:id="2"/>
    </w:p>
    <w:p w:rsidR="00012BDC" w:rsidRPr="006F075F" w:rsidRDefault="00571DF0" w:rsidP="00012BDC">
      <w:pPr>
        <w:rPr>
          <w:lang w:val="fr-BE"/>
        </w:rPr>
      </w:pPr>
      <w:r w:rsidRPr="006F075F">
        <w:rPr>
          <w:lang w:val="fr-BE"/>
        </w:rPr>
        <w:t xml:space="preserve">Le présent document fournit des détails concernant </w:t>
      </w:r>
      <w:r w:rsidR="00695FED">
        <w:rPr>
          <w:lang w:val="fr-BE"/>
        </w:rPr>
        <w:t xml:space="preserve">les aspects quantitatifs du Service. </w:t>
      </w:r>
      <w:r w:rsidR="00B9586A" w:rsidRPr="006F075F">
        <w:rPr>
          <w:lang w:val="fr-BE"/>
        </w:rPr>
        <w:t>Le présent</w:t>
      </w:r>
      <w:r w:rsidR="005213C4" w:rsidRPr="006F075F">
        <w:rPr>
          <w:lang w:val="fr-BE"/>
        </w:rPr>
        <w:t xml:space="preserve"> document est une partie intégrale de </w:t>
      </w:r>
      <w:r w:rsidR="00302C5A">
        <w:rPr>
          <w:lang w:val="fr-BE"/>
        </w:rPr>
        <w:t>l’</w:t>
      </w:r>
      <w:r w:rsidR="005213C4" w:rsidRPr="006F075F">
        <w:rPr>
          <w:lang w:val="fr-BE"/>
        </w:rPr>
        <w:t>Offre de Référence</w:t>
      </w:r>
      <w:r w:rsidR="00302C5A">
        <w:rPr>
          <w:lang w:val="fr-BE"/>
        </w:rPr>
        <w:t xml:space="preserve"> mentionnée ci-dessus</w:t>
      </w:r>
      <w:r w:rsidR="005213C4" w:rsidRPr="006F075F">
        <w:rPr>
          <w:lang w:val="fr-BE"/>
        </w:rPr>
        <w:t xml:space="preserve">. </w:t>
      </w:r>
      <w:r w:rsidR="00B9586A" w:rsidRPr="006F075F">
        <w:rPr>
          <w:lang w:val="fr-BE"/>
        </w:rPr>
        <w:t>En cas de conflit entre les conditions décrites dans cet</w:t>
      </w:r>
      <w:r w:rsidR="008A4A98" w:rsidRPr="006F075F">
        <w:rPr>
          <w:lang w:val="fr-BE"/>
        </w:rPr>
        <w:t>te</w:t>
      </w:r>
      <w:r w:rsidR="00B9586A" w:rsidRPr="006F075F">
        <w:rPr>
          <w:lang w:val="fr-BE"/>
        </w:rPr>
        <w:t xml:space="preserve"> Offre de Référence et le présent document, le présent document prévaudra.</w:t>
      </w:r>
    </w:p>
    <w:p w:rsidR="00B9586A" w:rsidRPr="006F075F" w:rsidRDefault="00B9586A" w:rsidP="00012BDC">
      <w:pPr>
        <w:rPr>
          <w:lang w:val="fr-BE"/>
        </w:rPr>
      </w:pPr>
    </w:p>
    <w:p w:rsidR="005B3DDE" w:rsidRPr="00F61FE1" w:rsidRDefault="005B3DDE" w:rsidP="005B3DDE">
      <w:pPr>
        <w:pStyle w:val="Titre1"/>
        <w:rPr>
          <w:lang w:val="fr-BE"/>
        </w:rPr>
      </w:pPr>
      <w:bookmarkStart w:id="3" w:name="_Toc315161821"/>
      <w:bookmarkStart w:id="4" w:name="_Toc315719225"/>
      <w:bookmarkStart w:id="5" w:name="_Toc320820085"/>
      <w:r w:rsidRPr="00A63AC1">
        <w:rPr>
          <w:lang w:val="fr-BE"/>
        </w:rPr>
        <w:t>Tarifs</w:t>
      </w:r>
      <w:bookmarkEnd w:id="3"/>
      <w:bookmarkEnd w:id="4"/>
      <w:bookmarkEnd w:id="5"/>
      <w:r w:rsidRPr="00A63AC1">
        <w:rPr>
          <w:lang w:val="fr-BE"/>
        </w:rPr>
        <w:t xml:space="preserve"> </w:t>
      </w:r>
    </w:p>
    <w:p w:rsidR="005B3DDE" w:rsidRPr="00F61FE1" w:rsidRDefault="005B3DDE" w:rsidP="005B3DDE">
      <w:pPr>
        <w:rPr>
          <w:lang w:val="fr-BE"/>
        </w:rPr>
      </w:pPr>
      <w:r w:rsidRPr="00F61FE1">
        <w:rPr>
          <w:lang w:val="fr-BE"/>
        </w:rPr>
        <w:t xml:space="preserve">La liste de tarifs reprise ci-dessus est une liste provisoire et sujette à modification suite à la finalisation de l’Offre de Référence.  Les tarifs seront également fixés à la suite de l’analyse quantitative actuellement en cours.  Cette liste est aussi sans préjudice des griefs que TECTEO invoque à l’encontre de la régulation lui imposant la fourniture des services d’accès.  TECTEO se réserve le droit de contester toute décision relative aux décisions d’exécution relative à la fixation des tarifs.  </w:t>
      </w:r>
    </w:p>
    <w:p w:rsidR="005B3DDE" w:rsidRPr="00F61FE1" w:rsidRDefault="005B3DDE" w:rsidP="005B3DDE">
      <w:pPr>
        <w:rPr>
          <w:lang w:val="fr-BE"/>
        </w:rPr>
      </w:pPr>
    </w:p>
    <w:p w:rsidR="005B3DDE" w:rsidRPr="00F61FE1" w:rsidRDefault="005B3DDE" w:rsidP="005B3DDE">
      <w:pPr>
        <w:pStyle w:val="Sansinterligne"/>
        <w:rPr>
          <w:b/>
          <w:lang w:val="fr-BE"/>
        </w:rPr>
      </w:pPr>
    </w:p>
    <w:p w:rsidR="005B3DDE" w:rsidRPr="00F61FE1" w:rsidRDefault="005B3DDE" w:rsidP="005B3DDE">
      <w:pPr>
        <w:pStyle w:val="Sansinterligne"/>
        <w:rPr>
          <w:b/>
          <w:lang w:val="fr-BE"/>
        </w:rPr>
      </w:pPr>
      <w:proofErr w:type="spellStart"/>
      <w:r w:rsidRPr="00A63AC1">
        <w:rPr>
          <w:b/>
          <w:lang w:val="fr-BE"/>
        </w:rPr>
        <w:t>Upfront</w:t>
      </w:r>
      <w:proofErr w:type="spellEnd"/>
      <w:r w:rsidRPr="00A63AC1">
        <w:rPr>
          <w:b/>
          <w:lang w:val="fr-BE"/>
        </w:rPr>
        <w:t xml:space="preserve"> </w:t>
      </w:r>
      <w:proofErr w:type="spellStart"/>
      <w:r w:rsidRPr="00A63AC1">
        <w:rPr>
          <w:b/>
          <w:lang w:val="fr-BE"/>
        </w:rPr>
        <w:t>fee</w:t>
      </w:r>
      <w:proofErr w:type="spellEnd"/>
    </w:p>
    <w:p w:rsidR="005B3DDE" w:rsidRPr="00F61FE1" w:rsidRDefault="005B3DDE" w:rsidP="005B3DDE">
      <w:pPr>
        <w:pStyle w:val="Sansinterligne"/>
        <w:rPr>
          <w:b/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Taux horaire par personne TECTEO pour de l’assistance fournie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F61FE1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Upfront</w:t>
            </w:r>
            <w:proofErr w:type="spellEnd"/>
            <w:r w:rsidRPr="00F61FE1">
              <w:rPr>
                <w:lang w:val="fr-BE"/>
              </w:rPr>
              <w:t xml:space="preserve">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général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Upfront</w:t>
            </w:r>
            <w:proofErr w:type="spellEnd"/>
            <w:r w:rsidRPr="00F61FE1">
              <w:rPr>
                <w:lang w:val="fr-BE"/>
              </w:rPr>
              <w:t xml:space="preserve">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Service de Revente de l’Offre Analogique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Upfront</w:t>
            </w:r>
            <w:proofErr w:type="spellEnd"/>
            <w:r w:rsidRPr="00F61FE1">
              <w:rPr>
                <w:lang w:val="fr-BE"/>
              </w:rPr>
              <w:t xml:space="preserve">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Service d’Accès à la Plateforme de Télévision Numérique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F61FE1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Upfront</w:t>
            </w:r>
            <w:proofErr w:type="spellEnd"/>
            <w:r w:rsidRPr="00F61FE1">
              <w:rPr>
                <w:lang w:val="fr-BE"/>
              </w:rPr>
              <w:t xml:space="preserve">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Accès VOD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Upfront</w:t>
            </w:r>
            <w:proofErr w:type="spellEnd"/>
            <w:r w:rsidRPr="00F61FE1">
              <w:rPr>
                <w:lang w:val="fr-BE"/>
              </w:rPr>
              <w:t xml:space="preserve">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Service de Revente Accès Haut Débit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lang w:val="fr-BE"/>
        </w:rPr>
      </w:pPr>
      <w:r w:rsidRPr="00A63AC1">
        <w:rPr>
          <w:lang w:val="fr-BE"/>
        </w:rPr>
        <w:t>L’ « </w:t>
      </w:r>
      <w:proofErr w:type="spellStart"/>
      <w:r w:rsidRPr="00A63AC1">
        <w:rPr>
          <w:lang w:val="fr-BE"/>
        </w:rPr>
        <w:t>Upfront</w:t>
      </w:r>
      <w:proofErr w:type="spellEnd"/>
      <w:r w:rsidRPr="00A63AC1">
        <w:rPr>
          <w:lang w:val="fr-BE"/>
        </w:rPr>
        <w:t xml:space="preserve"> </w:t>
      </w:r>
      <w:proofErr w:type="spellStart"/>
      <w:r w:rsidRPr="00A63AC1">
        <w:rPr>
          <w:lang w:val="fr-BE"/>
        </w:rPr>
        <w:t>fee</w:t>
      </w:r>
      <w:proofErr w:type="spellEnd"/>
      <w:r w:rsidRPr="00A63AC1">
        <w:rPr>
          <w:lang w:val="fr-BE"/>
        </w:rPr>
        <w:t> » général ainsi que l’ « </w:t>
      </w:r>
      <w:proofErr w:type="spellStart"/>
      <w:r w:rsidRPr="00A63AC1">
        <w:rPr>
          <w:lang w:val="fr-BE"/>
        </w:rPr>
        <w:t>Upfront</w:t>
      </w:r>
      <w:proofErr w:type="spellEnd"/>
      <w:r w:rsidRPr="00A63AC1">
        <w:rPr>
          <w:lang w:val="fr-BE"/>
        </w:rPr>
        <w:t xml:space="preserve"> </w:t>
      </w:r>
      <w:proofErr w:type="spellStart"/>
      <w:r w:rsidRPr="00A63AC1">
        <w:rPr>
          <w:lang w:val="fr-BE"/>
        </w:rPr>
        <w:t>fee</w:t>
      </w:r>
      <w:proofErr w:type="spellEnd"/>
      <w:r w:rsidRPr="00A63AC1">
        <w:rPr>
          <w:lang w:val="fr-BE"/>
        </w:rPr>
        <w:t> » du (des) Service(s) auquel(s) souscrit le Bénéficiaire est pris 100% en charge par le 1ier Bénéficiaire. Lorsqu’un autre Bénéficiaire souscrit au Service, les tarifs d’ « </w:t>
      </w:r>
      <w:proofErr w:type="spellStart"/>
      <w:r w:rsidRPr="00A63AC1">
        <w:rPr>
          <w:lang w:val="fr-BE"/>
        </w:rPr>
        <w:t>upfront</w:t>
      </w:r>
      <w:proofErr w:type="spellEnd"/>
      <w:r w:rsidRPr="00A63AC1">
        <w:rPr>
          <w:lang w:val="fr-BE"/>
        </w:rPr>
        <w:t xml:space="preserve"> </w:t>
      </w:r>
      <w:proofErr w:type="spellStart"/>
      <w:r w:rsidRPr="00A63AC1">
        <w:rPr>
          <w:lang w:val="fr-BE"/>
        </w:rPr>
        <w:t>fee</w:t>
      </w:r>
      <w:proofErr w:type="spellEnd"/>
      <w:r w:rsidRPr="00A63AC1">
        <w:rPr>
          <w:lang w:val="fr-BE"/>
        </w:rPr>
        <w:t xml:space="preserve"> » sont partagés entre la totalité des Bénéficiaires. </w:t>
      </w:r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b/>
          <w:lang w:val="fr-BE"/>
        </w:rPr>
      </w:pPr>
      <w:proofErr w:type="spellStart"/>
      <w:r w:rsidRPr="00A63AC1">
        <w:rPr>
          <w:b/>
          <w:lang w:val="fr-BE"/>
        </w:rPr>
        <w:t>Wholesale</w:t>
      </w:r>
      <w:proofErr w:type="spellEnd"/>
      <w:r w:rsidRPr="00A63AC1">
        <w:rPr>
          <w:b/>
          <w:lang w:val="fr-BE"/>
        </w:rPr>
        <w:t xml:space="preserve"> </w:t>
      </w:r>
      <w:proofErr w:type="spellStart"/>
      <w:r w:rsidRPr="00A63AC1">
        <w:rPr>
          <w:b/>
          <w:lang w:val="fr-BE"/>
        </w:rPr>
        <w:t>fee</w:t>
      </w:r>
      <w:proofErr w:type="spellEnd"/>
    </w:p>
    <w:p w:rsidR="005B3DDE" w:rsidRPr="00F61FE1" w:rsidRDefault="005B3DDE" w:rsidP="005B3DDE">
      <w:pPr>
        <w:pStyle w:val="Sansinterligne"/>
        <w:rPr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lastRenderedPageBreak/>
              <w:t>Certification d’un technicien (service analogique)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Certification d’un technicien (service analogique + numérique)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Certification d’un technicien (service analogique + numérique + accès haut débit)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Certification et tests d’un Décodeur (par type de Décodeur)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Certification et tests d’un Modem (par type de Modem)</w:t>
            </w:r>
            <w:bookmarkStart w:id="6" w:name="_GoBack"/>
            <w:bookmarkEnd w:id="6"/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Certification et tests des interfaces CAS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Certification et tests des interfaces VOD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Certification et tests des interfaces Accès Haut Débit (par Point de Connexion)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annuel des coûts </w:t>
            </w:r>
            <w:proofErr w:type="spellStart"/>
            <w:r w:rsidRPr="00F61FE1">
              <w:rPr>
                <w:lang w:val="fr-BE"/>
              </w:rPr>
              <w:t>wholesale</w:t>
            </w:r>
            <w:proofErr w:type="spellEnd"/>
            <w:r w:rsidRPr="00F61FE1">
              <w:rPr>
                <w:lang w:val="fr-BE"/>
              </w:rPr>
              <w:t xml:space="preserve"> récurrents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b/>
          <w:lang w:val="fr-BE"/>
        </w:rPr>
      </w:pPr>
      <w:r w:rsidRPr="00A63AC1">
        <w:rPr>
          <w:b/>
          <w:lang w:val="fr-BE"/>
        </w:rPr>
        <w:t xml:space="preserve">Service </w:t>
      </w:r>
      <w:proofErr w:type="spellStart"/>
      <w:r w:rsidRPr="00A63AC1">
        <w:rPr>
          <w:b/>
          <w:lang w:val="fr-BE"/>
        </w:rPr>
        <w:t>fee</w:t>
      </w:r>
      <w:proofErr w:type="spellEnd"/>
      <w:r w:rsidRPr="00A63AC1">
        <w:rPr>
          <w:b/>
          <w:lang w:val="fr-BE"/>
        </w:rPr>
        <w:t xml:space="preserve"> (prix mensuel)</w:t>
      </w:r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i/>
          <w:lang w:val="fr-BE"/>
        </w:rPr>
      </w:pPr>
      <w:r w:rsidRPr="00A63AC1">
        <w:rPr>
          <w:i/>
          <w:lang w:val="fr-BE"/>
        </w:rPr>
        <w:t xml:space="preserve">Service de Revente de l’Offre Analogique </w:t>
      </w:r>
    </w:p>
    <w:p w:rsidR="005B3DDE" w:rsidRPr="00F61FE1" w:rsidRDefault="005B3DDE" w:rsidP="005B3DDE">
      <w:pPr>
        <w:pStyle w:val="Sansinterligne"/>
        <w:rPr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 xml:space="preserve">Service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pour le Service de Revente de l’Offre Analogique.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i/>
          <w:lang w:val="fr-BE"/>
        </w:rPr>
      </w:pPr>
      <w:r w:rsidRPr="00A63AC1">
        <w:rPr>
          <w:i/>
          <w:lang w:val="fr-BE"/>
        </w:rPr>
        <w:t>Service d’Accès à la Plateforme de Télévision Numérique</w:t>
      </w:r>
    </w:p>
    <w:p w:rsidR="005B3DDE" w:rsidRPr="00F61FE1" w:rsidRDefault="005B3DDE" w:rsidP="005B3DDE">
      <w:pPr>
        <w:pStyle w:val="Sansinterligne"/>
        <w:rPr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 xml:space="preserve">Service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pour le Service d’Accès à la Plateforme de Télévision Numérique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color w:val="000000" w:themeColor="text1"/>
                <w:sz w:val="20"/>
                <w:szCs w:val="20"/>
                <w:lang w:val="fr-BE"/>
              </w:rPr>
            </w:pPr>
            <w:r w:rsidRPr="00F61FE1">
              <w:rPr>
                <w:color w:val="000000" w:themeColor="text1"/>
                <w:lang w:val="fr-BE"/>
              </w:rPr>
              <w:t xml:space="preserve">Service </w:t>
            </w:r>
            <w:proofErr w:type="spellStart"/>
            <w:r w:rsidRPr="00F61FE1">
              <w:rPr>
                <w:color w:val="000000" w:themeColor="text1"/>
                <w:lang w:val="fr-BE"/>
              </w:rPr>
              <w:t>fee</w:t>
            </w:r>
            <w:proofErr w:type="spellEnd"/>
            <w:r w:rsidRPr="00F61FE1">
              <w:rPr>
                <w:color w:val="000000" w:themeColor="text1"/>
                <w:lang w:val="fr-BE"/>
              </w:rPr>
              <w:t xml:space="preserve"> pour l’Accès VOD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color w:val="000000" w:themeColor="text1"/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color w:val="000000" w:themeColor="text1"/>
          <w:lang w:val="fr-BE"/>
        </w:rPr>
      </w:pPr>
    </w:p>
    <w:p w:rsidR="005B3DDE" w:rsidRPr="00F61FE1" w:rsidRDefault="005B3DDE" w:rsidP="005B3DDE">
      <w:pPr>
        <w:pStyle w:val="Sansinterligne"/>
        <w:rPr>
          <w:i/>
          <w:color w:val="000000" w:themeColor="text1"/>
          <w:lang w:val="fr-BE"/>
        </w:rPr>
      </w:pPr>
      <w:r w:rsidRPr="00A63AC1">
        <w:rPr>
          <w:i/>
          <w:color w:val="000000" w:themeColor="text1"/>
          <w:lang w:val="fr-BE"/>
        </w:rPr>
        <w:t>Service de Revente Accès Haut Débit</w:t>
      </w:r>
    </w:p>
    <w:p w:rsidR="005B3DDE" w:rsidRPr="00F61FE1" w:rsidRDefault="005B3DDE" w:rsidP="005B3DDE">
      <w:pPr>
        <w:pStyle w:val="Sansinterligne"/>
        <w:rPr>
          <w:color w:val="000000" w:themeColor="text1"/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color w:val="000000" w:themeColor="text1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color w:val="000000" w:themeColor="text1"/>
                <w:highlight w:val="cyan"/>
                <w:lang w:val="fr-BE"/>
              </w:rPr>
            </w:pPr>
            <w:r w:rsidRPr="00F61FE1">
              <w:rPr>
                <w:color w:val="000000" w:themeColor="text1"/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color w:val="000000" w:themeColor="text1"/>
                <w:lang w:val="fr-BE"/>
              </w:rPr>
            </w:pPr>
            <w:r w:rsidRPr="00F61FE1">
              <w:rPr>
                <w:color w:val="000000" w:themeColor="text1"/>
                <w:lang w:val="fr-BE"/>
              </w:rPr>
              <w:t xml:space="preserve">Service </w:t>
            </w:r>
            <w:proofErr w:type="spellStart"/>
            <w:r w:rsidRPr="00F61FE1">
              <w:rPr>
                <w:color w:val="000000" w:themeColor="text1"/>
                <w:lang w:val="fr-BE"/>
              </w:rPr>
              <w:t>fee</w:t>
            </w:r>
            <w:proofErr w:type="spellEnd"/>
            <w:r w:rsidRPr="00F61FE1">
              <w:rPr>
                <w:color w:val="000000" w:themeColor="text1"/>
                <w:lang w:val="fr-BE"/>
              </w:rPr>
              <w:t xml:space="preserve"> pour le Service de Revente Accès Haut Débit par point de connexion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color w:val="000000" w:themeColor="text1"/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 xml:space="preserve">Service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pour le Service de Revente Accès Haut Débit par type de Profil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F61FE1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jc w:val="right"/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Profil catégorie 1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F61FE1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jc w:val="right"/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Profil catégorie 2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F61FE1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jc w:val="right"/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Profil catégorie 3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lastRenderedPageBreak/>
              <w:t xml:space="preserve">Service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pour la voie de retour IP 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b/>
          <w:lang w:val="fr-BE"/>
        </w:rPr>
      </w:pPr>
      <w:proofErr w:type="spellStart"/>
      <w:r w:rsidRPr="00A63AC1">
        <w:rPr>
          <w:b/>
          <w:lang w:val="fr-BE"/>
        </w:rPr>
        <w:t>Other</w:t>
      </w:r>
      <w:proofErr w:type="spellEnd"/>
      <w:r w:rsidRPr="00A63AC1">
        <w:rPr>
          <w:b/>
          <w:lang w:val="fr-BE"/>
        </w:rPr>
        <w:t xml:space="preserve"> </w:t>
      </w:r>
      <w:proofErr w:type="spellStart"/>
      <w:r w:rsidRPr="00A63AC1">
        <w:rPr>
          <w:b/>
          <w:lang w:val="fr-BE"/>
        </w:rPr>
        <w:t>fees</w:t>
      </w:r>
      <w:proofErr w:type="spellEnd"/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i/>
          <w:lang w:val="fr-BE"/>
        </w:rPr>
      </w:pPr>
      <w:r w:rsidRPr="00A63AC1">
        <w:rPr>
          <w:i/>
          <w:lang w:val="fr-BE"/>
        </w:rPr>
        <w:t>Général</w:t>
      </w:r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i/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Activation sur place d’un Service Utilisateur Final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Activation à distance d’un Service Utilisateur Final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F61FE1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Modification d’une demande d’activation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Modification d’une demande d’activation dans les 48h avant la date d’intervention planifiée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F61FE1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Annulation d’une demande d’activation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Annulation d’une demande d’activation dans les 48h avant la date d’intervention planifiée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Traitement manuel d’une demande d’activation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Désactivation sur place d’un Service Utilisateur Final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Désactivation à distance d’un Service Utilisateur Final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Changement de la date d’intervention à la demande du Bénéficiaire dans les @@h avant la date d’intervention planifiée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Déplacement pour une activation qui n’a pas pu avoir lieu ou qui n’a pas pu être terminée pour des raisons non liées à TECTEO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Traitement d’une commande non suivie d’une activation (par en raison d’une commande incomplète ou non acceptable)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Intervention sans déplacement pour la résolution d’une panne non liée à TECTEO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spacing w:after="0"/>
              <w:rPr>
                <w:rFonts w:eastAsiaTheme="minorHAnsi"/>
                <w:b w:val="0"/>
                <w:bCs w:val="0"/>
                <w:lang w:val="fr-BE" w:bidi="ar-SA"/>
              </w:rPr>
            </w:pPr>
            <w:r w:rsidRPr="00F61FE1">
              <w:rPr>
                <w:lang w:val="fr-BE"/>
              </w:rPr>
              <w:t>Intervention avec déplacement pour la résolution d’une panne non imputable  à TECTEO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spacing w:after="0"/>
              <w:rPr>
                <w:rFonts w:eastAsiaTheme="minorHAnsi"/>
                <w:b w:val="0"/>
                <w:bCs w:val="0"/>
                <w:lang w:val="fr-BE" w:bidi="ar-SA"/>
              </w:rPr>
            </w:pPr>
            <w:r w:rsidRPr="00F61FE1">
              <w:rPr>
                <w:lang w:val="fr-BE"/>
              </w:rPr>
              <w:t>Intervention pour la résolution d’un dommage au Réseau causé par le Client Final, le Bénéficiaire ou un tiers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Dommage au Point de Connexion du Client Final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jc w:val="right"/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Dommage à la connexion entre le Point de Connexion du Client Final et le Réseau de TECTEO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i/>
          <w:lang w:val="fr-BE"/>
        </w:rPr>
      </w:pPr>
      <w:r w:rsidRPr="00A63AC1">
        <w:rPr>
          <w:i/>
          <w:lang w:val="fr-BE"/>
        </w:rPr>
        <w:t>Service d’Accès à la Plateforme de Télévision Numérique</w:t>
      </w:r>
    </w:p>
    <w:p w:rsidR="005B3DDE" w:rsidRPr="00F61FE1" w:rsidRDefault="005B3DDE" w:rsidP="005B3DDE">
      <w:pPr>
        <w:pStyle w:val="Sansinterligne"/>
        <w:rPr>
          <w:i/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spacing w:after="0"/>
              <w:rPr>
                <w:rFonts w:eastAsiaTheme="minorHAnsi"/>
                <w:b w:val="0"/>
                <w:bCs w:val="0"/>
                <w:lang w:val="fr-BE" w:bidi="ar-SA"/>
              </w:rPr>
            </w:pPr>
            <w:r w:rsidRPr="00F61FE1">
              <w:rPr>
                <w:lang w:val="fr-BE"/>
              </w:rPr>
              <w:t xml:space="preserve">Setup </w:t>
            </w: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par chaîne de télévision numérique additionnelle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626E13" w:rsidRDefault="005B3DDE" w:rsidP="00B01938">
            <w:pPr>
              <w:rPr>
                <w:b w:val="0"/>
                <w:lang w:val="en-US"/>
              </w:rPr>
            </w:pPr>
            <w:r w:rsidRPr="00626E13">
              <w:rPr>
                <w:lang w:val="en-US"/>
              </w:rPr>
              <w:t>Fee par VOD stream SD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626E13" w:rsidRDefault="005B3DDE" w:rsidP="00B01938">
            <w:pPr>
              <w:cnfStyle w:val="000000000000"/>
              <w:rPr>
                <w:lang w:val="en-US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626E13" w:rsidRDefault="005B3DDE" w:rsidP="00B01938">
            <w:pPr>
              <w:rPr>
                <w:b w:val="0"/>
                <w:lang w:val="en-US"/>
              </w:rPr>
            </w:pPr>
            <w:r w:rsidRPr="00626E13">
              <w:rPr>
                <w:lang w:val="en-US"/>
              </w:rPr>
              <w:t>Fee par VOD stream HD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626E13" w:rsidRDefault="005B3DDE" w:rsidP="00B01938">
            <w:pPr>
              <w:cnfStyle w:val="000000100000"/>
              <w:rPr>
                <w:lang w:val="en-US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pour la modification du Service Utilisateur Final (p.ex. Décodeur additionnel)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i/>
          <w:lang w:val="fr-BE"/>
        </w:rPr>
      </w:pPr>
    </w:p>
    <w:p w:rsidR="005B3DDE" w:rsidRPr="00F61FE1" w:rsidRDefault="005B3DDE" w:rsidP="005B3DDE">
      <w:pPr>
        <w:pStyle w:val="Sansinterligne"/>
        <w:rPr>
          <w:i/>
          <w:lang w:val="fr-BE"/>
        </w:rPr>
      </w:pPr>
      <w:r w:rsidRPr="00A63AC1">
        <w:rPr>
          <w:i/>
          <w:lang w:val="fr-BE"/>
        </w:rPr>
        <w:t>Service de Revente Accès Haut Débit</w:t>
      </w:r>
    </w:p>
    <w:p w:rsidR="005B3DDE" w:rsidRPr="00F61FE1" w:rsidRDefault="005B3DDE" w:rsidP="005B3DDE">
      <w:pPr>
        <w:pStyle w:val="Sansinterligne"/>
        <w:rPr>
          <w:lang w:val="fr-BE"/>
        </w:rPr>
      </w:pPr>
    </w:p>
    <w:tbl>
      <w:tblPr>
        <w:tblStyle w:val="LightList-Accent11"/>
        <w:tblW w:w="8221" w:type="dxa"/>
        <w:jc w:val="center"/>
        <w:tblInd w:w="-1309" w:type="dxa"/>
        <w:tblLook w:val="04A0"/>
      </w:tblPr>
      <w:tblGrid>
        <w:gridCol w:w="3969"/>
        <w:gridCol w:w="1985"/>
        <w:gridCol w:w="2267"/>
      </w:tblGrid>
      <w:tr w:rsidR="005B3DDE" w:rsidRPr="00F61FE1" w:rsidTr="00B01938">
        <w:trPr>
          <w:cnfStyle w:val="100000000000"/>
          <w:jc w:val="center"/>
        </w:trPr>
        <w:tc>
          <w:tcPr>
            <w:cnfStyle w:val="001000000000"/>
            <w:tcW w:w="3969" w:type="dxa"/>
          </w:tcPr>
          <w:p w:rsidR="005B3DDE" w:rsidRPr="00F61FE1" w:rsidRDefault="005B3DDE" w:rsidP="00B01938">
            <w:pPr>
              <w:rPr>
                <w:b w:val="0"/>
                <w:highlight w:val="cyan"/>
                <w:lang w:val="fr-BE"/>
              </w:rPr>
            </w:pPr>
          </w:p>
        </w:tc>
        <w:tc>
          <w:tcPr>
            <w:tcW w:w="4252" w:type="dxa"/>
            <w:gridSpan w:val="2"/>
          </w:tcPr>
          <w:p w:rsidR="005B3DDE" w:rsidRPr="00F61FE1" w:rsidRDefault="005B3DDE" w:rsidP="00B01938">
            <w:pPr>
              <w:jc w:val="right"/>
              <w:cnfStyle w:val="100000000000"/>
              <w:rPr>
                <w:b w:val="0"/>
                <w:highlight w:val="cyan"/>
                <w:lang w:val="fr-BE"/>
              </w:rPr>
            </w:pPr>
            <w:r w:rsidRPr="00F61FE1">
              <w:rPr>
                <w:lang w:val="fr-BE"/>
              </w:rPr>
              <w:t>Tarif en EUR hors TVA</w:t>
            </w: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980502" w:rsidRDefault="005B3DDE" w:rsidP="00B01938">
            <w:pPr>
              <w:pStyle w:val="Sansinterligne"/>
              <w:rPr>
                <w:b w:val="0"/>
                <w:lang w:val="fr-BE"/>
              </w:rPr>
            </w:pPr>
            <w:proofErr w:type="spellStart"/>
            <w:r w:rsidRPr="00A63AC1">
              <w:rPr>
                <w:lang w:val="fr-BE"/>
              </w:rPr>
              <w:t>Fee</w:t>
            </w:r>
            <w:proofErr w:type="spellEnd"/>
            <w:r w:rsidRPr="00A63AC1">
              <w:rPr>
                <w:lang w:val="fr-BE"/>
              </w:rPr>
              <w:t xml:space="preserve"> pour la configuration d’un Profil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spacing w:after="0"/>
              <w:rPr>
                <w:rFonts w:eastAsiaTheme="minorHAnsi"/>
                <w:b w:val="0"/>
                <w:bCs w:val="0"/>
                <w:lang w:val="fr-BE" w:bidi="ar-SA"/>
              </w:rPr>
            </w:pP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pour la configuration d’un « service flow » IP additionnel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  <w:tr w:rsidR="005B3DDE" w:rsidRPr="00392114" w:rsidTr="00B01938">
        <w:trPr>
          <w:cnfStyle w:val="000000100000"/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proofErr w:type="spellStart"/>
            <w:r w:rsidRPr="00F61FE1">
              <w:rPr>
                <w:lang w:val="fr-BE"/>
              </w:rPr>
              <w:t>Fee</w:t>
            </w:r>
            <w:proofErr w:type="spellEnd"/>
            <w:r w:rsidRPr="00F61FE1">
              <w:rPr>
                <w:lang w:val="fr-BE"/>
              </w:rPr>
              <w:t xml:space="preserve"> pour la modification du Service Utilisateur Final (p.ex. changement de Modem ou changement de Profil)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100000"/>
              <w:rPr>
                <w:lang w:val="fr-BE"/>
              </w:rPr>
            </w:pPr>
          </w:p>
        </w:tc>
      </w:tr>
      <w:tr w:rsidR="005B3DDE" w:rsidRPr="00392114" w:rsidTr="00B01938">
        <w:trPr>
          <w:jc w:val="center"/>
        </w:trPr>
        <w:tc>
          <w:tcPr>
            <w:cnfStyle w:val="001000000000"/>
            <w:tcW w:w="5954" w:type="dxa"/>
            <w:gridSpan w:val="2"/>
            <w:tcBorders>
              <w:right w:val="single" w:sz="8" w:space="0" w:color="4F81BD" w:themeColor="accent1"/>
            </w:tcBorders>
          </w:tcPr>
          <w:p w:rsidR="005B3DDE" w:rsidRPr="00F61FE1" w:rsidRDefault="005B3DDE" w:rsidP="00B01938">
            <w:pPr>
              <w:rPr>
                <w:b w:val="0"/>
                <w:lang w:val="fr-BE"/>
              </w:rPr>
            </w:pPr>
            <w:r w:rsidRPr="00F61FE1">
              <w:rPr>
                <w:lang w:val="fr-BE"/>
              </w:rPr>
              <w:t>Dépassement du volume défini dans le Profil (par GB)</w:t>
            </w:r>
          </w:p>
        </w:tc>
        <w:tc>
          <w:tcPr>
            <w:tcW w:w="2267" w:type="dxa"/>
            <w:tcBorders>
              <w:left w:val="single" w:sz="8" w:space="0" w:color="4F81BD" w:themeColor="accent1"/>
            </w:tcBorders>
          </w:tcPr>
          <w:p w:rsidR="005B3DDE" w:rsidRPr="00F61FE1" w:rsidRDefault="005B3DDE" w:rsidP="00B01938">
            <w:pPr>
              <w:cnfStyle w:val="000000000000"/>
              <w:rPr>
                <w:lang w:val="fr-BE"/>
              </w:rPr>
            </w:pPr>
          </w:p>
        </w:tc>
      </w:tr>
    </w:tbl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pStyle w:val="Sansinterligne"/>
        <w:rPr>
          <w:lang w:val="fr-BE"/>
        </w:rPr>
      </w:pPr>
    </w:p>
    <w:p w:rsidR="005B3DDE" w:rsidRPr="00F61FE1" w:rsidRDefault="005B3DDE" w:rsidP="005B3DDE">
      <w:pPr>
        <w:tabs>
          <w:tab w:val="left" w:pos="1950"/>
        </w:tabs>
        <w:rPr>
          <w:b/>
          <w:u w:val="single"/>
          <w:lang w:val="fr-BE"/>
        </w:rPr>
      </w:pPr>
      <w:r w:rsidRPr="00F61FE1">
        <w:rPr>
          <w:b/>
          <w:u w:val="single"/>
          <w:lang w:val="fr-BE"/>
        </w:rPr>
        <w:t xml:space="preserve">Remarque </w:t>
      </w:r>
    </w:p>
    <w:p w:rsidR="005B3DDE" w:rsidRPr="00F61FE1" w:rsidRDefault="005B3DDE" w:rsidP="005B3DDE">
      <w:pPr>
        <w:tabs>
          <w:tab w:val="left" w:pos="1950"/>
        </w:tabs>
        <w:rPr>
          <w:lang w:val="fr-BE"/>
        </w:rPr>
      </w:pPr>
      <w:r w:rsidRPr="00F61FE1">
        <w:rPr>
          <w:lang w:val="fr-BE"/>
        </w:rPr>
        <w:t xml:space="preserve">Le tarif applicable pour les signaux numériques requis pour la livraison de chaînes non comprises dans l’Offre Numérique de </w:t>
      </w:r>
      <w:proofErr w:type="spellStart"/>
      <w:r w:rsidRPr="00F61FE1">
        <w:rPr>
          <w:lang w:val="fr-BE"/>
        </w:rPr>
        <w:t>Tecteo</w:t>
      </w:r>
      <w:proofErr w:type="spellEnd"/>
      <w:r w:rsidRPr="00F61FE1">
        <w:rPr>
          <w:lang w:val="fr-BE"/>
        </w:rPr>
        <w:t xml:space="preserve"> sera déterminé dans le cadre d’une demande individuelle d’accès à cet effet et n’est donc pas reprise dans la présente Offre de Référence.</w:t>
      </w:r>
    </w:p>
    <w:p w:rsidR="005B3DDE" w:rsidRPr="00F61FE1" w:rsidRDefault="005B3DDE" w:rsidP="005B3DDE">
      <w:pPr>
        <w:rPr>
          <w:lang w:val="fr-BE"/>
        </w:rPr>
      </w:pPr>
    </w:p>
    <w:p w:rsidR="005B3DDE" w:rsidRPr="00F61FE1" w:rsidRDefault="005B3DDE" w:rsidP="005B3DDE">
      <w:pPr>
        <w:ind w:left="360"/>
        <w:rPr>
          <w:lang w:val="fr-BE"/>
        </w:rPr>
      </w:pPr>
    </w:p>
    <w:p w:rsidR="004A06C9" w:rsidRPr="006F075F" w:rsidRDefault="004A06C9" w:rsidP="005B3DDE">
      <w:pPr>
        <w:pStyle w:val="Sansinterligne"/>
        <w:rPr>
          <w:lang w:val="fr-BE"/>
        </w:rPr>
      </w:pPr>
    </w:p>
    <w:sectPr w:rsidR="004A06C9" w:rsidRPr="006F075F" w:rsidSect="00FC56CB">
      <w:footerReference w:type="default" r:id="rId10"/>
      <w:pgSz w:w="12240" w:h="15840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4C2" w:rsidRDefault="001454C2" w:rsidP="00235F03">
      <w:pPr>
        <w:spacing w:after="0"/>
      </w:pPr>
      <w:r>
        <w:separator/>
      </w:r>
    </w:p>
  </w:endnote>
  <w:endnote w:type="continuationSeparator" w:id="0">
    <w:p w:rsidR="001454C2" w:rsidRDefault="001454C2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CD6C6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>Off</w:t>
    </w:r>
    <w:r w:rsidR="00392114">
      <w:rPr>
        <w:rFonts w:asciiTheme="majorHAnsi" w:hAnsiTheme="majorHAnsi"/>
        <w:lang w:val="fr-BE"/>
      </w:rPr>
      <w:t xml:space="preserve">re de Référence de TECTEO   - v1.3 </w:t>
    </w:r>
    <w:r w:rsidR="00DD5D49">
      <w:rPr>
        <w:rFonts w:asciiTheme="majorHAnsi" w:hAnsiTheme="majorHAnsi"/>
        <w:lang w:val="fr-BE"/>
      </w:rPr>
      <w:t>– Appendice A</w:t>
    </w:r>
    <w:r w:rsidR="00AD7472">
      <w:rPr>
        <w:rFonts w:asciiTheme="majorHAnsi" w:hAnsiTheme="majorHAnsi"/>
        <w:lang w:val="fr-BE"/>
      </w:rPr>
      <w:t>.</w:t>
    </w:r>
    <w:r w:rsidR="000519E2">
      <w:rPr>
        <w:rFonts w:asciiTheme="majorHAnsi" w:hAnsiTheme="majorHAnsi"/>
        <w:lang w:val="fr-BE"/>
      </w:rPr>
      <w:t>10</w:t>
    </w:r>
    <w:r w:rsidR="00392114">
      <w:rPr>
        <w:rFonts w:asciiTheme="majorHAnsi" w:hAnsiTheme="majorHAnsi"/>
        <w:lang w:val="fr-BE"/>
      </w:rPr>
      <w:t xml:space="preserve"> – Aspects quantitatifs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AB5A05" w:rsidRPr="00AB5A05">
      <w:fldChar w:fldCharType="begin"/>
    </w:r>
    <w:r>
      <w:rPr>
        <w:lang w:val="fr-BE"/>
      </w:rPr>
      <w:instrText xml:space="preserve"> PAGE   \* MERGEFORMAT </w:instrText>
    </w:r>
    <w:r w:rsidR="00AB5A05" w:rsidRPr="00AB5A05">
      <w:fldChar w:fldCharType="separate"/>
    </w:r>
    <w:r w:rsidR="00392114" w:rsidRPr="00392114">
      <w:rPr>
        <w:rFonts w:asciiTheme="majorHAnsi" w:hAnsiTheme="majorHAnsi"/>
        <w:noProof/>
        <w:lang w:val="fr-BE"/>
      </w:rPr>
      <w:t>1</w:t>
    </w:r>
    <w:r w:rsidR="00AB5A05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4C2" w:rsidRDefault="001454C2" w:rsidP="00235F03">
      <w:pPr>
        <w:spacing w:after="0"/>
      </w:pPr>
      <w:r>
        <w:separator/>
      </w:r>
    </w:p>
  </w:footnote>
  <w:footnote w:type="continuationSeparator" w:id="0">
    <w:p w:rsidR="001454C2" w:rsidRDefault="001454C2" w:rsidP="00235F0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0DD5"/>
    <w:multiLevelType w:val="hybridMultilevel"/>
    <w:tmpl w:val="90E4F53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">
    <w:nsid w:val="2DCA5F88"/>
    <w:multiLevelType w:val="hybridMultilevel"/>
    <w:tmpl w:val="6CDEFA6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4419A"/>
    <w:multiLevelType w:val="hybridMultilevel"/>
    <w:tmpl w:val="DF508BD0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A622AA"/>
    <w:multiLevelType w:val="hybridMultilevel"/>
    <w:tmpl w:val="2DD0EAB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1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4255F"/>
    <w:multiLevelType w:val="multilevel"/>
    <w:tmpl w:val="A8EA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4">
    <w:nsid w:val="721B4997"/>
    <w:multiLevelType w:val="hybridMultilevel"/>
    <w:tmpl w:val="C13EE5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11"/>
  </w:num>
  <w:num w:numId="9">
    <w:abstractNumId w:val="8"/>
  </w:num>
  <w:num w:numId="10">
    <w:abstractNumId w:val="6"/>
  </w:num>
  <w:num w:numId="11">
    <w:abstractNumId w:val="12"/>
  </w:num>
  <w:num w:numId="12">
    <w:abstractNumId w:val="0"/>
  </w:num>
  <w:num w:numId="13">
    <w:abstractNumId w:val="14"/>
  </w:num>
  <w:num w:numId="14">
    <w:abstractNumId w:val="7"/>
  </w:num>
  <w:num w:numId="15">
    <w:abstractNumId w:val="9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44D7C"/>
    <w:rsid w:val="000519E2"/>
    <w:rsid w:val="000C64EF"/>
    <w:rsid w:val="000E6C51"/>
    <w:rsid w:val="000F1DDB"/>
    <w:rsid w:val="001454C2"/>
    <w:rsid w:val="001611B9"/>
    <w:rsid w:val="00183162"/>
    <w:rsid w:val="001A0C9A"/>
    <w:rsid w:val="001A30AE"/>
    <w:rsid w:val="001B7A11"/>
    <w:rsid w:val="001D71D2"/>
    <w:rsid w:val="001E1C4E"/>
    <w:rsid w:val="00235F03"/>
    <w:rsid w:val="002409B9"/>
    <w:rsid w:val="00267E2E"/>
    <w:rsid w:val="002936BB"/>
    <w:rsid w:val="002A5A8A"/>
    <w:rsid w:val="002E68EC"/>
    <w:rsid w:val="00302C5A"/>
    <w:rsid w:val="00317391"/>
    <w:rsid w:val="00336E14"/>
    <w:rsid w:val="00392114"/>
    <w:rsid w:val="003D0288"/>
    <w:rsid w:val="00437F09"/>
    <w:rsid w:val="004728CD"/>
    <w:rsid w:val="00491491"/>
    <w:rsid w:val="004A06C9"/>
    <w:rsid w:val="004A6EE7"/>
    <w:rsid w:val="004B7599"/>
    <w:rsid w:val="004F5335"/>
    <w:rsid w:val="004F7946"/>
    <w:rsid w:val="005213C4"/>
    <w:rsid w:val="005457CA"/>
    <w:rsid w:val="00557D65"/>
    <w:rsid w:val="005639AF"/>
    <w:rsid w:val="00570D3D"/>
    <w:rsid w:val="00571DF0"/>
    <w:rsid w:val="00576247"/>
    <w:rsid w:val="00586706"/>
    <w:rsid w:val="005B3DDE"/>
    <w:rsid w:val="005C0268"/>
    <w:rsid w:val="005C158D"/>
    <w:rsid w:val="00621233"/>
    <w:rsid w:val="00644382"/>
    <w:rsid w:val="00661E27"/>
    <w:rsid w:val="00695FED"/>
    <w:rsid w:val="006E157B"/>
    <w:rsid w:val="006F075F"/>
    <w:rsid w:val="0070238C"/>
    <w:rsid w:val="00713175"/>
    <w:rsid w:val="00725F8E"/>
    <w:rsid w:val="00776D65"/>
    <w:rsid w:val="00797BED"/>
    <w:rsid w:val="007A2A1B"/>
    <w:rsid w:val="008148B5"/>
    <w:rsid w:val="00856C76"/>
    <w:rsid w:val="008A4A98"/>
    <w:rsid w:val="008C6B14"/>
    <w:rsid w:val="008F35FD"/>
    <w:rsid w:val="009261A9"/>
    <w:rsid w:val="00947240"/>
    <w:rsid w:val="00974740"/>
    <w:rsid w:val="009769FD"/>
    <w:rsid w:val="009B1D66"/>
    <w:rsid w:val="009E628C"/>
    <w:rsid w:val="00A044B9"/>
    <w:rsid w:val="00A11F24"/>
    <w:rsid w:val="00A35994"/>
    <w:rsid w:val="00A43131"/>
    <w:rsid w:val="00A547AE"/>
    <w:rsid w:val="00A60E61"/>
    <w:rsid w:val="00AB5A05"/>
    <w:rsid w:val="00AB7A82"/>
    <w:rsid w:val="00AD7472"/>
    <w:rsid w:val="00AF6CF9"/>
    <w:rsid w:val="00B101D9"/>
    <w:rsid w:val="00B15156"/>
    <w:rsid w:val="00B2385B"/>
    <w:rsid w:val="00B62F4C"/>
    <w:rsid w:val="00B9143D"/>
    <w:rsid w:val="00B9586A"/>
    <w:rsid w:val="00B962A6"/>
    <w:rsid w:val="00BC6A6A"/>
    <w:rsid w:val="00BD265A"/>
    <w:rsid w:val="00C01B31"/>
    <w:rsid w:val="00C10916"/>
    <w:rsid w:val="00C13F04"/>
    <w:rsid w:val="00C56D9A"/>
    <w:rsid w:val="00C87133"/>
    <w:rsid w:val="00CD6C68"/>
    <w:rsid w:val="00CD74D8"/>
    <w:rsid w:val="00CE78A5"/>
    <w:rsid w:val="00D109F3"/>
    <w:rsid w:val="00D301AB"/>
    <w:rsid w:val="00D830AF"/>
    <w:rsid w:val="00DC150E"/>
    <w:rsid w:val="00DD5D49"/>
    <w:rsid w:val="00DE0B5F"/>
    <w:rsid w:val="00E173DD"/>
    <w:rsid w:val="00E5108C"/>
    <w:rsid w:val="00E83ACC"/>
    <w:rsid w:val="00E97152"/>
    <w:rsid w:val="00EC0A49"/>
    <w:rsid w:val="00EC27CA"/>
    <w:rsid w:val="00EC4123"/>
    <w:rsid w:val="00F42D0B"/>
    <w:rsid w:val="00F76368"/>
    <w:rsid w:val="00FB5741"/>
    <w:rsid w:val="00FC0F89"/>
    <w:rsid w:val="00FC56CB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NormalWeb">
    <w:name w:val="Normal (Web)"/>
    <w:basedOn w:val="Normal"/>
    <w:uiPriority w:val="99"/>
    <w:semiHidden/>
    <w:unhideWhenUsed/>
    <w:rsid w:val="002E68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2E68EC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44D7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44D7C"/>
    <w:rPr>
      <w:rFonts w:eastAsiaTheme="minorEastAsia" w:cs="Arial"/>
      <w:sz w:val="24"/>
      <w:szCs w:val="24"/>
      <w:lang w:val="nl-BE" w:eastAsia="nl-BE"/>
    </w:rPr>
  </w:style>
  <w:style w:type="paragraph" w:styleId="Rvision">
    <w:name w:val="Revision"/>
    <w:hidden/>
    <w:uiPriority w:val="99"/>
    <w:semiHidden/>
    <w:rsid w:val="00B101D9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spacing w:after="240"/>
      <w:ind w:left="360" w:hanging="36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ind w:left="432" w:hanging="432"/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spacing w:after="60"/>
      <w:ind w:left="788" w:hanging="504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ind w:left="648" w:hanging="648"/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ind w:left="2232" w:hanging="792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Heading 1 Ch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Heading 2 Ch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Heading 3 Ch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Heading 4 Ch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Heading 5 Ch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Footer Ch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 Text Ch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le Ch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Balloon Text Ch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autoSpaceDE/>
      <w:autoSpaceDN/>
      <w:adjustRightInd/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NormalWeb">
    <w:name w:val="Normal (Web)"/>
    <w:basedOn w:val="Normal"/>
    <w:uiPriority w:val="99"/>
    <w:semiHidden/>
    <w:unhideWhenUsed/>
    <w:rsid w:val="002E68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2E68E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3B5A-CFB6-4FD6-8C4B-64320CD4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833</Words>
  <Characters>4587</Characters>
  <Application>Microsoft Office Word</Application>
  <DocSecurity>4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 Vandermeulen</dc:creator>
  <cp:lastModifiedBy>France Vandermeulen</cp:lastModifiedBy>
  <cp:revision>2</cp:revision>
  <dcterms:created xsi:type="dcterms:W3CDTF">2012-11-05T13:41:00Z</dcterms:created>
  <dcterms:modified xsi:type="dcterms:W3CDTF">2012-11-05T13:41:00Z</dcterms:modified>
</cp:coreProperties>
</file>